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BezO (Bayern) — Sonstige Vorschriften für Kommunalunternehmen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Jahresabschluß und der Lagebericht werden in entsprechender Anwendung der Vorschriften des Dritten Buches des Handelsgesetzbuchs aufgestellt und geprüft, sofern nicht weitergehende gesetzliche Vorschriften oder weitergehende Bestimmungen der Unternehmenssatzung gelten oder andere gesetzliche Vorschriften entgegenstehen. Die Erweiterung des Lageberichts um einen Nachhaltigkeitsbericht und die Prüfung des Nachhaltigkeitsberichts richten sich allein nach der Unternehmenssatzung.</w:t>
      </w:r>
    </w:p>
    <w:p>
      <w:r>
        <w:t xml:space="preserve">(2) Die Organe der Rechnungsprüfung des Bezirks haben das Recht, sich zur Klärung von Fragen, die bei der Prüfung nach Art. 88 Abs. 4 Sätze 2 und 3 auftreten, unmittelbar zu unterrichten und zu diesem Zweck den Betrieb, die Bücher und Schriften des Kommunalunternehmens einzusehen.</w:t>
      </w:r>
    </w:p>
    <w:p>
      <w:r>
        <w:t xml:space="preserve">(3) Die Art. 3 Abs. 2, Art. 53 Abs. 1 bis 3, Art. 54, 61, 62, 66 Abs. 1 und 2, Art. 67, 69 und 83 und die Vorschriften des Vierten Teils über die staatliche Aufsicht und die Rechtsmittel sind sinngemäß anzuwenden.</w:t>
      </w:r>
    </w:p>
    <w:p>
      <w:r>
        <w:t xml:space="preserve">(4) Das Unternehmen ist zur Vollstreckung von Verwaltungsakten in demselben Umfang berechtigt wie der Bezirk, wenn es auf Grund einer Aufgabenübertragung nach Art. 75 Abs. 2 hoheitliche Befugnisse ausübt und bei der Aufgabenübertragung nichts Abweichendes geregelt wird.</w:t>
      </w:r>
    </w:p>
    <w:p>
      <w:r>
        <w:rPr>
          <w:color w:val="555555"/>
          <w:sz w:val="17"/>
        </w:rPr>
        <w:t xml:space="preserve">Zitiervorschlag: Art 77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