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66 BezO (Bayern) — Erwerb und Verwaltung von Vermögen, Wertansätze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Bezirk soll Vermögensgegenstände nur erwerben, wenn das zur Erfüllung seiner Aufgaben erforderlich ist.</w:t>
      </w:r>
    </w:p>
    <w:p>
      <w:r>
        <w:t xml:space="preserve">(2) Die Vermögensgegenstände sind pfleglich und wirtschaftlich zu verwalten und ordnungsgemäß nachzuweisen. Bei Geldanlagen ist auf eine ausreichende Sicherheit zu achten; sie sollen einen angemessenen Ertrag bringen.</w:t>
      </w:r>
    </w:p>
    <w:p>
      <w:r>
        <w:t xml:space="preserve">(3) Vermögensgegenstände sind mit den Anschaffungs- oder Herstellungskosten, vermindert um Abschreibungen, anzusetzen. Verbindlichkeiten sind zu ihrem Rückzahlungsbetrag und Rückstellungen nur in Höhe des Betrags anzusetzen, der nach sachgerechter Beurteilung notwendig ist.</w:t>
      </w:r>
    </w:p>
    <w:p>
      <w:r>
        <w:rPr>
          <w:color w:val="555555"/>
          <w:sz w:val="17"/>
        </w:rPr>
        <w:t xml:space="preserve">Zitiervorschlag: Art 66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