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BezO (Bayern) — Nachtragshaushaltssatzungen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Haushaltssatzung kann nur bis zum Ablauf des Haushaltsjahres durch Nachtragshaushaltssatzung geändert werden. Für die Nachtragshaushaltssatzung gelten die Vorschriften für die Haushaltssatzung entsprechend.</w:t>
      </w:r>
    </w:p>
    <w:p>
      <w:r>
        <w:t xml:space="preserve">(2) Der Bezirk hat unverzüglich eine Nachtragshaushaltssatzung zu erlassen, wenn</w:t>
      </w:r>
    </w:p>
    <w:p>
      <w:r>
        <w:t xml:space="preserve">1. sich zeigt, daß trotz Ausnutzung jeder Sparmöglichkeit ein Fehlbetrag entstehen wird und der Haushaltsausgleich nur durch eine Änderung der Haushaltssatzung erreicht werden kann,</w:t>
      </w:r>
    </w:p>
    <w:p>
      <w:r>
        <w:t xml:space="preserve">2. bisher nicht veranschlagte oder zusätzliche einzelne Aufwendungen und Auszahlungen beziehungsweise Ausgaben in einem im Verhältnis zu den Gesamtaufwendungen und -auszahlungen beziehungsweise Gesamtausgaben des Haushaltsplans erheblichen Umfang geleistet werden müssen,</w:t>
      </w:r>
    </w:p>
    <w:p>
      <w:r>
        <w:t xml:space="preserve">3. Auszahlungen des Finanzhaushalts beziehungsweise Ausgaben des Vermögenshaushalts für bisher nicht veranschlagte Investitionen oder Investitionsförderungsmaßnahmen geleistet werden sollen,</w:t>
      </w:r>
    </w:p>
    <w:p>
      <w:r>
        <w:t xml:space="preserve">4. Beamtinnen und Beamte oder Arbeitnehmerinnen und Arbeitnehmer eingestellt, befördert oder in eine höhere Entgeltgruppe eingestuft werden sollen und der Stellenplan die entsprechenden Stellen nicht enthält.</w:t>
      </w:r>
    </w:p>
    <w:p>
      <w:r>
        <w:t xml:space="preserve">(3) Absatz 2 Nrn. 2 bis 4 finden keine Anwendung auf</w:t>
      </w:r>
    </w:p>
    <w:p>
      <w:r>
        <w:t xml:space="preserve">1. Investitionen und Investitionsförderungsmaßnahmen, soweit die Auszahlungen beziehungsweise Ausgaben nicht erheblich und unabweisbar sind,</w:t>
      </w:r>
    </w:p>
    <w:p>
      <w:r>
        <w:t xml:space="preserve">2. Abweichungen vom Stellenplan und die Leistung höherer Personalausgaben, die auf Grund des Beamten- oder Tarifrechts oder für die Erfüllung neuer Aufgaben notwendig werden.</w:t>
      </w:r>
    </w:p>
    <w:p>
      <w:r>
        <w:rPr>
          <w:color w:val="555555"/>
          <w:sz w:val="17"/>
        </w:rPr>
        <w:t xml:space="preserve">Zitiervorschlag: Art 60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