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BezO (Bayern) — Verpflichtungsermächtigungen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Verpflichtungen zur Leistung von Auszahlungen beziehungsweise Ausgaben für Investitionen und Investitionsförderungsmaßnahmen in künftigen Jahren dürfen unbeschadet des Abs. 5 nur eingegangen werden, wenn der Haushaltsplan hierzu ermächtigt.</w:t>
      </w:r>
    </w:p>
    <w:p>
      <w:r>
        <w:t xml:space="preserve">(2) Die Verpflichtungsermächtigungen dürfen in der Regel zu Lasten der dem Haushaltsjahr folgenden drei Jahre vorgesehen werden, in Ausnahmefällen bis zum Abschluß einer Maßnahme; sie sind nur zulässig, wenn durch sie der Ausgleich künftiger Haushalte nicht gefährdet wird.</w:t>
      </w:r>
    </w:p>
    <w:p>
      <w:r>
        <w:t xml:space="preserve">(3) Die Verpflichtungsermächtigungen gelten bis zum Ende des Haushaltsjahres und, wenn die Haushaltssatzung für das folgende Haushaltsjahr nicht rechtzeitig amtlich bekanntgemacht wird, bis zum Erlaß dieser Haushaltssatzung.</w:t>
      </w:r>
    </w:p>
    <w:p>
      <w:r>
        <w:t xml:space="preserve">(4) Der Gesamtbetrag der Verpflichtungsermächtigungen bedarf im Rahmen der Haushaltssatzung der Genehmigung, wenn in den Jahren, zu deren Lasten sie vorgesehen sind, Kreditaufnahmen geplant sind.</w:t>
      </w:r>
    </w:p>
    <w:p>
      <w:r>
        <w:t xml:space="preserve">(5) Verpflichtungen im Sinn des Abs 1 dürfen überplanmäßig oder außerplanmäßig eingegangen werden, wenn ein dringendes Bedürfnis besteht und der in der Haushaltssatzung festgesetzte Gesamtbetrag der Verpflichtungsermächtigungen nicht überschritten wird. Art. 58 Abs. 1 Satz 2 gilt entsprechend.</w:t>
      </w:r>
    </w:p>
    <w:p>
      <w:r>
        <w:rPr>
          <w:color w:val="555555"/>
          <w:sz w:val="17"/>
        </w:rPr>
        <w:t xml:space="preserve">Zitiervorschlag: Art 59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