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BezO (Bayern) — Zuständigkeit für den Gesetzesvollzug</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Vollzug der gesetzlichen Vorschriften im eigenen und im übertragenen Wirkungskreis und die Durchführung der gesetzmäßigen Anordnungen und Weisungen der Staatsbehörden obliegen dem Bezirkstag oder dem Bezirksausschuß, in den Fällen des Art. 33 Abs. 1, 2 und 3 der Bezirkstagspräsidentin oder dem Bezirkstagspräsidenten.</w:t>
      </w:r>
    </w:p>
    <w:p>
      <w:r>
        <w:t xml:space="preserve">(2) Hält die Bezirkstagspräsidentin oder der Bezirkstagspräsident Entscheidungen des Bezirkstags oder seiner Ausschüsse für rechtswidrig, so hat sie oder er die Entscheidungen zu beanstanden, ihren Vollzug auszusetzen und, soweit erforderlich, die Entscheidung der Rechtsaufsichtsbehörde herbeizuführen. Diese Befugnisse stehen der Regierungspräsidentin oder dem Regierungspräsidenten zu, soweit die Regierung Verwaltungsaufgaben des Bezirks nach Art. 35b erledigt.</w:t>
      </w:r>
    </w:p>
    <w:p>
      <w:r>
        <w:rPr>
          <w:color w:val="555555"/>
          <w:sz w:val="17"/>
        </w:rPr>
        <w:t xml:space="preserve">Zitiervorschlag: Art 52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