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47a BezO (Bayern) — Geheimhaltung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Angelegenheiten, die im Interesse der Sicherheit oder anderer wichtiger Belange der Bundesrepublik oder eines ihrer Länder Unbefugten nicht bekannt werden dürfen, sind von den Bezirken geheimzuhalten. Die in anderen Rechtsvorschriften geregelte Verpflichtung zur Verschwiegenheit bleibt unberührt.</w:t>
      </w:r>
    </w:p>
    <w:p>
      <w:r>
        <w:t xml:space="preserve">(2) Zur Geheimhaltung der in Absatz 1 Satz 1 bezeichneten Angelegenheiten haben die Bezirke die notwendigen Vorkehrungen zu treffen. Sie haben insoweit auch die für die Behörden des Freistaates Bayern geltenden Verwaltungsvorschriften zu beachten. Das Staatsministerium des Innern, für Sport und Integration kann hierzu Richtlinien aufstellen und Weisungen erteilen, die nicht der Einschränkung nach Art. 91 Abs. 2 Satz 2 unterliegen.</w:t>
      </w:r>
    </w:p>
    <w:p>
      <w:r>
        <w:t xml:space="preserve">(3) Die Bezirkstagspräsidentin oder der Bezirkstagspräsident ist zu Beginn ihrer oder seiner Amtszeit durch die Rechtsaufsichtsbehörde schriftlich besonders zu verpflichten, die in Absatz 1 Satz 1 genannten Angelegenheiten geheimzuhalten und die hierfür geltenden Vorschriften zu beachten. In gleicher Weise hat die Bezirkstagspräsidentin oder der Bezirkstagspräsident ihre Stellvertretung zu verpflichten. Bezirksbedienstete sind zu verpflichten, bevor sie mit den in Absatz 1 Satz 1 genannten Angelegenheiten befaßt werden. Art. 3a BayVwVfG findet keine Anwendung.</w:t>
      </w:r>
    </w:p>
    <w:p>
      <w:r>
        <w:rPr>
          <w:color w:val="555555"/>
          <w:sz w:val="17"/>
        </w:rPr>
        <w:t xml:space="preserve">Zitiervorschlag: Art 47a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https://recht.nulegal.eu/gesetze/BezO/47a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