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BezO (Bayern) — Gesetzmäßigkeit; Unparteilichkeit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Verwaltungstätigkeit des Bezirks muß mit der Verfassung und den Gesetzen im Einklang stehen. Sie darf nur von sachlichen Gesichtspunkten geleitet sein.</w:t>
      </w:r>
    </w:p>
    <w:p>
      <w:r>
        <w:t xml:space="preserve">(2) Für Bezirke gelten § 12 Abs. 1 Satz 1 und Abs. 4 sowie die §§ 13 bis 18 des Hinweisgeberschutzgesetzes (HinSchG) entsprechend. Dies gilt nicht bei in der Regel weniger als 50 Beschäftigten. Art. 56 Abs. 4 Satz 3 der Gemeindeordnung (GO) gilt entsprechend.</w:t>
      </w:r>
    </w:p>
    <w:p>
      <w:r>
        <w:rPr>
          <w:color w:val="555555"/>
          <w:sz w:val="17"/>
        </w:rPr>
        <w:t xml:space="preserve">Zitiervorschlag: Art 47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