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BezO (Bayern) — Teilnahmepflicht; Ordnungsgeld gegen Säumige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Bezirksrätinnen und Bezirksräte sind verpflichtet, an den Sitzungen und Abstimmungen teilzunehmen und die ihnen zugewiesenen Geschäfte zu übernehmen. Keine Bezirksrätin und kein Bezirksrat darf sich der Stimme enthalten.</w:t>
      </w:r>
    </w:p>
    <w:p>
      <w:r>
        <w:t xml:space="preserve">(2) Gegen Bezirksrätinnen und Bezirksräte, die sich diesen Verpflichtungen ohne genügende Entschuldigung entziehen, kann der Bezirkstag Ordnungsgeld bis zu zweihundertfünfzig Euro im Einzelfall verhängen.</w:t>
      </w:r>
    </w:p>
    <w:p>
      <w:r>
        <w:t xml:space="preserve">(3) Ordnungsgeld wird als Einnahme des Bezirks behandelt.</w:t>
      </w:r>
    </w:p>
    <w:p>
      <w:r>
        <w:rPr>
          <w:color w:val="555555"/>
          <w:sz w:val="17"/>
        </w:rPr>
        <w:t xml:space="preserve">Zitiervorschlag: Art 39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