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BezO (Bayern) — Regierungspräsidentin und Regierungspräsident sowie Bezirkstag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Regierungspräsidentin oder der Regierungspräsident wird im Benehmen mit dem Bezirkstag von der Staatsregierung ernannt.</w:t>
      </w:r>
    </w:p>
    <w:p>
      <w:r>
        <w:t xml:space="preserve">(2) Die Regierungspräsidentin oder der Regierungspräsident und ihre Stellvertretung haben zu allen Sitzungen des Bezirkstags und seiner Ausschüsse Zutritt. Zu den Sitzungen der Ausschüsse können sie Beauftragte entsenden.</w:t>
      </w:r>
    </w:p>
    <w:p>
      <w:r>
        <w:t xml:space="preserve">(3) Der Bezirkstag und seine Ausschüsse können das Erscheinen der Regierungspräsidentin oder des Regierungspräsidenten verlangen.</w:t>
      </w:r>
    </w:p>
    <w:p>
      <w:r>
        <w:rPr>
          <w:color w:val="555555"/>
          <w:sz w:val="17"/>
        </w:rPr>
        <w:t xml:space="preserve">Zitiervorschlag: Art 36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