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22 BezO (Bayern) — Rechtsstellung; Aufgaben des Bezirkstags</w:t>
      </w:r>
    </w:p>
    <w:p>
      <w:r>
        <w:rPr>
          <w:color w:val="555555"/>
          <w:sz w:val="18"/>
        </w:rPr>
        <w:t xml:space="preserve">Bezirksordnung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Bezirkstag ist die Vertretung der Bezirksbürgerinnen und Bezirksbürger. Er entscheidet im Rahmen des Art. 21 über die Angelegenheiten der Bezirksverwaltung.</w:t>
      </w:r>
    </w:p>
    <w:p>
      <w:r>
        <w:t xml:space="preserve">(2) Der Bezirkstag überwacht die gesamte Bezirksverwaltung, insbesondere auch die Ausführung seiner Beschlüsse. Er kann hierfür Richtlinien aufstellen.</w:t>
      </w:r>
    </w:p>
    <w:p>
      <w:r>
        <w:rPr>
          <w:color w:val="555555"/>
          <w:sz w:val="17"/>
        </w:rPr>
        <w:t xml:space="preserve">Zitiervorschlag: Art 22 BezO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https://recht.nulegal.eu/gesetze/BezO/22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