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BezO (Bayern) — Inhalt von Satzungen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Satzungen können die Bezirke insbesondere die Benutzung ihres Eigentums und ihrer öffentlichen Einrichtungen regeln. In diesen Satzungen können Zuwiderhandlungen als Ordnungswidrigkeit mit Geldbuße bis zu zweitausendfünfhundert Euro bedroht werden (bewehrte Satzungen).</w:t>
      </w:r>
    </w:p>
    <w:p>
      <w:r>
        <w:t xml:space="preserve">(2) In Satzungen nach Absatz 1 und in Satzungen, die auf Grund anderer Gesetze, die auf diesen Artikel verweisen, erlassen werden, kann bestimmt werden, daß die von dem Bezirk mit dem Vollzug dieser Satzung beauftragten Personen berechtigt sind, zur Überwachung der Pflichten, die sich nach diesen Satzungen und Gesetzen ergeben, zu angemessener Tageszeit Grundstücke, Gebäude, Anlagen, Einrichtungen, Wohnungen und Wohnräume im erforderlichen Umfang zu betreten.</w:t>
      </w:r>
    </w:p>
    <w:p>
      <w:r>
        <w:rPr>
          <w:color w:val="555555"/>
          <w:sz w:val="17"/>
        </w:rPr>
        <w:t xml:space="preserve">Zitiervorschlag: Art 18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