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14a BezO (Bayern) — Entschädigung</w:t>
      </w:r>
    </w:p>
    <w:p>
      <w:r>
        <w:rPr>
          <w:color w:val="555555"/>
          <w:sz w:val="18"/>
        </w:rPr>
        <w:t xml:space="preserve">Bezirksordnung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Ehrenamtlich tätige Personen haben Anspruch auf angemessene Entschädigung. Das Nähere wird durch Satzung bestimmt. Auf die Entschädigung kann nicht verzichtet werden. Der Anspruch ist nicht übertragbar.</w:t>
      </w:r>
    </w:p>
    <w:p>
      <w:r>
        <w:t xml:space="preserve">(2) Ehrenamtlich tätige Personen erhalten ferner für die nach Maßgabe näherer Bestimmung in der Satzung zur Wahrnehmung des Ehrenamts notwendige Teilnahme an Sitzungen, Besprechungen oder anderen Veranstaltungen folgende Ersatzleistungen:</w:t>
      </w:r>
    </w:p>
    <w:p>
      <w:r>
        <w:t xml:space="preserve">1. Arbeitnehmerinnen und Arbeitnehmern wird der ihnen entstandene nachgewiesene Verdienstausfall ersetzt.</w:t>
      </w:r>
    </w:p>
    <w:p>
      <w:r>
        <w:t xml:space="preserve">2. Selbständig Tätige können für die ihnen entstandene Zeitversäumnis eine Verdienstausfallentschädigung erhalten. Die Entschädigung wird auf der Grundlage eines satzungsmäßig festgelegten Pauschalsatzes gewährt. Wegezeiten können in angemessenem Umfang berücksichtigt werden.</w:t>
      </w:r>
    </w:p>
    <w:p>
      <w:r>
        <w:t xml:space="preserve">3. Personen, die keine Ersatzansprüche nach Nummern 1 und 2 haben, denen aber im beruflichen oder häuslichen Bereich ein Nachteil entsteht, der in der Regel nur durch das Nachholen versäumter Arbeit oder die Inanspruchnahme einer Hilfskraft ausgeglichen werden kann, können eine Entschädigung erhalten. Die Entschädigung wird auf der Grundlage eines satzungsmäßig festgelegten Pauschalsatzes gewährt. Der Pauschalsatz darf nicht höher sein als der Pauschalsatz nach Nummer 2. Wegezeiten können in angemessenem Umfang berücksichtigt werden.</w:t>
      </w:r>
    </w:p>
    <w:p>
      <w:r>
        <w:t xml:space="preserve">4. Nachgewiesene Kosten für eine notwendige Betreuung von im Haushalt der ehrenamtlich tätigen Person lebenden</w:t>
      </w:r>
    </w:p>
    <w:p>
      <w:r>
        <w:t xml:space="preserve">a) Kindern, die das zwölfte Lebensjahr noch nicht vollendet haben,</w:t>
      </w:r>
    </w:p>
    <w:p>
      <w:r>
        <w:t xml:space="preserve">b) Kindern mit Behinderung, die auf Hilfe angewiesen sind,</w:t>
      </w:r>
    </w:p>
    <w:p>
      <w:r>
        <w:t xml:space="preserve">c) Angehörigen im Sinne des Art. 20 Abs. 5 BayVwVfG mit festgestelltem Pflegegrad nach § 15 Abs. 1 Satz 1 des Elften Buches Sozialgesetzbuch</w:t>
      </w:r>
    </w:p>
    <w:p>
      <w:r>
        <w:t xml:space="preserve">können bis zu einem satzungsmäßig festgelegten Höchstbetrag ersetzt werden; für Personen, denen eine Entschädigung nach Nr. 3 zusteht, gilt Halbsatz 1 nur, soweit die erstattungsfähigen Betreuungskosten diese Entschädigung übersteigen.</w:t>
      </w:r>
    </w:p>
    <w:p>
      <w:r>
        <w:t xml:space="preserve">(3) Für die Bezirkstagspräsidentinnen und Bezirkstagspräsidenten sowie ihre gewählte Stellvertretung gelten die besonderen gesetzlichen Vorschriften.</w:t>
      </w:r>
    </w:p>
    <w:p>
      <w:r>
        <w:t xml:space="preserve">(4) Vergütungen für Tätigkeiten, die ehrenamtlich tätige Personen kraft Amts oder auf Vorschlag oder Veranlassung des Bezirks in einem Aufsichtsrat, Vorstand oder sonstigen Organ oder Gremium eines privatrechtlich oder öffentlich-rechtlich organisierten Unternehmens wahrnehmen, sind an den Bezirk abzuführen, soweit sie insgesamt einen Betrag von 8 767,25 € im Kalenderjahr übersteigen; mit einem Vomhundertsatz benannte Änderungen des Grundgehalts der Beamtinnen und Beamten mit einer Besoldung nach Besoldungsgruppe A 13 gelten ab dem auf das Inkrafttreten der Änderung folgenden Kalenderjahr mit dem gleichen Vomhundertsatz für den in Halbsatz 1 genannten Betrag. Das Staatsministerium des Innern, für Sport und Integration macht bei einer Anpassung nach Satz 1 Halbsatz 2 den neuen Betrag im Bayerischen Ministerialblatt bekannt. Vom Bezirk veranlasst sind auch Tätigkeiten, die von einem Unternehmen, an dem er unmittelbar oder mittelbar ganz oder mehrheitlich beteiligt ist, einer ehrenamtlich tätigen Person übertragen werden. Der Betrag verdoppelt sich für Vorsitzende des Aufsichtsrats oder eines vergleichbaren Organs der in Satz 1 genannten Unternehmen und erhöht sich für deren Stellvertreter um 50 v.H. Bei der Festsetzung des abzuführenden Betrags sind von den Vergütungen Aufwendungen abzusetzen, die im Zusammenhang mit der Tätigkeit nachweislich entstanden sind. Die Ablieferungsregelungen nach dem beamtenrechtlichen Nebentätigkeitsrecht finden keine Anwendung.</w:t>
      </w:r>
    </w:p>
    <w:p>
      <w:r>
        <w:rPr>
          <w:color w:val="555555"/>
          <w:sz w:val="17"/>
        </w:rPr>
        <w:t xml:space="preserve">Zitiervorschlag: Art 14a BezO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https://recht.nulegal.eu/gesetze/BezO/14a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