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BezO (Bayern) — Sorgfalts- und Verschwiegenheitspflicht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sind verpflichtet, ihre Obliegenheiten gewissenhaft wahrzunehmen.</w:t>
      </w:r>
    </w:p>
    <w:p>
      <w:r>
        <w:t xml:space="preserve">(2) Sie haben über die ihnen bei ihrer ehrenamtlichen Tätigkeit bekanntgewordenen Angelegenheiten Verschwiegenheit zu bewahren; das gilt nicht für Mitteilungen im amtlichen Verkehr oder über Tatsachen, die offenkundig sind oder ihrer Bedeutung nach keiner Geheimhaltung bedürfen. Sie dürfen die Kenntnis der nach Satz 1 geheimzuhaltenden Angelegenheiten nicht unbefugt verwerten. Sie haben auf Verlangen des Bezirkstags amtliche Schriftstücke, Zeichnungen, bildliche Darstellungen und Aufzeichnungen jeder Art über dienstliche Vorgänge herauszugeben, auch soweit es sich um Wiedergaben handelt. Diese Verpflichtungen bestehen auch nach Beendigung des Ehrenamts fort. Die Herausgabepflicht trifft auch die Hinterbliebenen und Erben.</w:t>
      </w:r>
    </w:p>
    <w:p>
      <w:r>
        <w:t xml:space="preserve">(3) Ehrenamtlich tätige Personen dürfen ohne Genehmigung über Angelegenheiten, über die sie Verschwiegenheit zu bewahren haben, weder vor Gericht noch außergerichtlich aussagen oder Erklärungen abgeben. Über die Genehmigung entscheidet die Bezirkstagspräsidentin oder der Bezirkstagspräsident; im Übrigen gelten Art. 84 Abs. 3 und 4 des Bayerischen Verwaltungsverfahrensgesetzes (BayVwVfG).</w:t>
      </w:r>
    </w:p>
    <w:p>
      <w:r>
        <w:t xml:space="preserve">(4) Wer den Verpflichtungen der Absätze 1, 2 oder 3 Satz 1 schuldhaft zuwiderhandelt, kann im Einzelfall mit Ordnungsgeld bis zu zweihundertfünfzig Euro, bei unbefugter Offenbarung personenbezogener Daten bis zu fünfhundert Euro, belegt werden; die Verantwortlichkeit nach anderen gesetzlichen Vorschriften bleibt unberührt. Die Haftung gegenüber dem Bezirk richtet sich nach den für die Bezirkstagspräsidentin und den Bezirkstagspräsidenten geltenden Vorschriften. Der Bezirk stellt die Verantwortlichen von der Haftung frei, wenn sie von Dritten unmittelbar in Anspruch genommen werden und der Schaden weder vorsätzlich noch grob fahrlässig verursacht worden ist.</w:t>
      </w:r>
    </w:p>
    <w:p>
      <w:r>
        <w:rPr>
          <w:color w:val="555555"/>
          <w:sz w:val="17"/>
        </w:rPr>
        <w:t xml:space="preserve">Zitiervorschlag: Art 14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