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BewachV 2019 — Buchführung und Aufbewahrung</w:t>
      </w:r>
    </w:p>
    <w:p>
      <w:r>
        <w:rPr>
          <w:color w:val="555555"/>
          <w:sz w:val="18"/>
        </w:rPr>
        <w:t xml:space="preserve">Bewachungsverordnung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Gewerbetreibende hat nach Maßgabe des Satzes 2 und der Absätze 2 bis 4 die Pflicht, Aufzeichnungen zu machen sowie die dort genannten Belege an der Hauptniederlassung seines Gewerbebetriebs übersichtlich zu sammeln. Die Aufzeichnungen sind unverzüglich und in deutscher Sprache anzufertigen.</w:t>
      </w:r>
    </w:p>
    <w:p>
      <w:r>
        <w:t xml:space="preserve">(2) Der Gewerbetreibende hat für jeden Bewachungsvertrag Namen und Anschrift des Auftraggebers, Inhalt und Art des Auftrages sowie Tag des Vertragsabschlusses aufzuzeichnen. Darüber hinaus hat er Aufzeichnungen anzufertigen über:</w:t>
      </w:r>
    </w:p>
    <w:p>
      <w:pPr>
        <w:ind w:left="420"/>
      </w:pPr>
      <w:r>
        <w:t xml:space="preserve">1. die in § 16 Absatz 2 Satz 2 und Absatz 3 genannten Angaben über die Wachpersonen sowie den Tag der Einstellung und den Tag der Beendigung des Beschäftigungsverhältnisses von Wachpersonen,</w:t>
      </w:r>
    </w:p>
    <w:p>
      <w:pPr>
        <w:ind w:left="420"/>
      </w:pPr>
      <w:r>
        <w:t xml:space="preserve">2. die Belehrung der Wachpersonen über die Pflicht zur Mitführung und zum Vorzeigen des Ausweises gemäß § 18 Absatz 2,</w:t>
      </w:r>
    </w:p>
    <w:p>
      <w:pPr>
        <w:ind w:left="420"/>
      </w:pPr>
      <w:r>
        <w:t xml:space="preserve">3. die Belehrung der Wachpersonen über die Pflicht, ein Namensschild oder eine Kennnummer zu tragen gemäß § 18 Absatz 3,</w:t>
      </w:r>
    </w:p>
    <w:p>
      <w:pPr>
        <w:ind w:left="420"/>
      </w:pPr>
      <w:r>
        <w:t xml:space="preserve">4. die Überlassung von Schusswaffen und Munition nach § 28 Absatz 3 Satz 2 des Waffengesetzes und über die Rückgabe nach § 20 Absatz 1 Satz 2.</w:t>
      </w:r>
    </w:p>
    <w:p>
      <w:r>
        <w:t xml:space="preserve">(3) Der Gewerbetreibende hat folgende Belege zu sammeln:</w:t>
      </w:r>
    </w:p>
    <w:p>
      <w:pPr>
        <w:ind w:left="420"/>
      </w:pPr>
      <w:r>
        <w:t xml:space="preserve">1. den Versicherungsvertrag nach § 14 Absatz 1,</w:t>
      </w:r>
    </w:p>
    <w:p>
      <w:pPr>
        <w:ind w:left="420"/>
      </w:pPr>
      <w:r>
        <w:t xml:space="preserve">2. Nachweise über die Zuverlässigkeit und Befähigung von Personen nach § 16 Absatz 1 Satz 1,</w:t>
      </w:r>
    </w:p>
    <w:p>
      <w:pPr>
        <w:ind w:left="420"/>
      </w:pPr>
      <w:r>
        <w:t xml:space="preserve">3. die Dienstanweisung nach § 17 Absatz 1 Satz 1 und die Empfangsbescheinigung nach § 17 Absatz 2,</w:t>
      </w:r>
    </w:p>
    <w:p>
      <w:pPr>
        <w:ind w:left="420"/>
      </w:pPr>
      <w:r>
        <w:t xml:space="preserve">4. die Verpflichtungserklärung nach § 17 Absatz 3,</w:t>
      </w:r>
    </w:p>
    <w:p>
      <w:pPr>
        <w:ind w:left="420"/>
      </w:pPr>
      <w:r>
        <w:t xml:space="preserve">5. den Vordruck eines Ausweises nach § 18 Absatz 1 Satz 1 und 2,</w:t>
      </w:r>
    </w:p>
    <w:p>
      <w:pPr>
        <w:ind w:left="420"/>
      </w:pPr>
      <w:r>
        <w:t xml:space="preserve">6. die Benennung nach § 28 Absatz 3 Satz 1 des Waffengesetzes und die behördliche Zustimmung nach § 28 Absatz 3 Satz 2 des Waffengesetzes,</w:t>
      </w:r>
    </w:p>
    <w:p>
      <w:pPr>
        <w:ind w:left="420"/>
      </w:pPr>
      <w:r>
        <w:t xml:space="preserve">7. eine Anzeige über einen Waffengebrauch nach § 20 Absatz 2.</w:t>
      </w:r>
    </w:p>
    <w:p>
      <w:r>
        <w:t xml:space="preserve">(4) Die Aufzeichnungen und Belege sind bis zum Schluss des dritten auf den Zeitpunkt ihrer Entstehung folgenden Kalenderjahres in den Geschäftsräumen aufzubewahren. Die Aufbewahrungsfrist endet hiervon abweichend</w:t>
      </w:r>
    </w:p>
    <w:p>
      <w:pPr>
        <w:ind w:left="420"/>
      </w:pPr>
      <w:r>
        <w:t xml:space="preserve">1. in den Fällen des Absatzes 2 Satz 1 und des Absatzes 3 Nummer 1 und aller sich hierauf beziehenden Schriftstücke drei Jahre nach dem Schluss des Kalenderjahres, in dem die Verträge endeten,</w:t>
      </w:r>
    </w:p>
    <w:p>
      <w:pPr>
        <w:ind w:left="420"/>
      </w:pPr>
      <w:r>
        <w:t xml:space="preserve">2. in den Fällen des Absatzes 2 Satz 2 Nummer 1 und des Absatzes 3 Nummer 2 bis 5 drei Jahre nach dem Schluss des Kalenderjahres, in dem das Beschäftigungsverhältnis endete.</w:t>
      </w:r>
    </w:p>
    <w:p>
      <w:r>
        <w:t xml:space="preserve">(5) Die Verpflichtung, Aufzeichnungen über Bewachungsverträge zu machen, besteht nicht, soweit Landfahrzeuge bewacht werden.</w:t>
      </w:r>
    </w:p>
    <w:p>
      <w:r>
        <w:t xml:space="preserve">(6) Eine nach anderen Vorschriften bestehende Pflicht zur Buchführung und zur Aufbewahrung von Büchern, Aufzeichnungen, Unterlagen und Belegen bleibt unberührt.</w:t>
      </w:r>
    </w:p>
    <w:p>
      <w:r>
        <w:rPr>
          <w:color w:val="555555"/>
          <w:sz w:val="17"/>
        </w:rPr>
        <w:t xml:space="preserve">Zitiervorschlag: § 21 BewachV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https://recht.nulegal.eu/gesetze/BewachV%202019/21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