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BewachV 2019 — Behandlung der Waffen und Anzeigepflicht nach Waffengebrauch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Gewerbetreibende ist für die sichere Aufbewahrung der Waffen und der Munition verantwortlich. Er hat die ordnungsgemäße Rückgabe der Waffen und der Munition nach Beendigung des Wachdienstes sicherzustellen.</w:t>
      </w:r>
    </w:p>
    <w:p>
      <w:r>
        <w:t xml:space="preserve">(2) Hat der Gewerbetreibende oder eine Wachperson im Wachdienst von Waffen Gebrauch gemacht, so hat der Gewerbetreibende dies unverzüglich der für den Vollzug des § 34a der Gewerbeordnung zuständigen Behörde und, soweit noch keine Anzeige nach § 17 Absatz 1 Satz 3 erfolgt ist, der zuständigen Polizeidienststelle anzuzeigen.</w:t>
      </w:r>
    </w:p>
    <w:p>
      <w:r>
        <w:rPr>
          <w:color w:val="555555"/>
          <w:sz w:val="17"/>
        </w:rPr>
        <w:t xml:space="preserve">Zitiervorschlag: § 20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BewachV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