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BewachV 2019 — Unterrichtung in Strafsachen</w:t>
      </w:r>
    </w:p>
    <w:p>
      <w:r>
        <w:rPr>
          <w:color w:val="555555"/>
          <w:sz w:val="18"/>
        </w:rPr>
        <w:t xml:space="preserve">Bewachungsverordnung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Strafsachen gegen Gewerbetreibende im Sinne des § 34a Absatz 1 Satz 1 der Gewerbeordnung, gegen mit der Leitung des Betriebs oder einer Zweigniederlassung beauftragte Personen im Sinne des § 34a Absatz 1a Satz 3 der Gewerbeordnung und gegen Wachpersonen im Sinne des § 34a Absatz 1a Satz 1 der Gewerbeordnung übermitteln Staatsanwaltschaften und Gerichte folgende Informationen an die für den Vollzug des § 34a Gewerbeordnung zuständige Behörde, wenn der Tatvorwurf geeignet ist, Zweifel an der Zuverlässigkeit hervorzurufen:</w:t>
      </w:r>
    </w:p>
    <w:p>
      <w:pPr>
        <w:ind w:left="420"/>
      </w:pPr>
      <w:r>
        <w:t xml:space="preserve">1. Erlass und Vollzug eines Haft- oder Unterbringungsbefehls,</w:t>
      </w:r>
    </w:p>
    <w:p>
      <w:pPr>
        <w:ind w:left="420"/>
      </w:pPr>
      <w:r>
        <w:t xml:space="preserve">2. Anklageschrift oder an ihre Stelle tretende Antragsschrift,</w:t>
      </w:r>
    </w:p>
    <w:p>
      <w:pPr>
        <w:ind w:left="420"/>
      </w:pPr>
      <w:r>
        <w:t xml:space="preserve">3. der Antrag auf Erlass eines Strafbefehls,</w:t>
      </w:r>
    </w:p>
    <w:p>
      <w:pPr>
        <w:ind w:left="420"/>
      </w:pPr>
      <w:r>
        <w:t xml:space="preserve">4. die das Verfahren abschließende Entscheidung mit Begründung.</w:t>
      </w:r>
    </w:p>
    <w:p>
      <w:r>
        <w:t xml:space="preserve">Die Übermittlung von Informationen nach Satz 1 soll in einem elektronischen Verfahren erfolgen.</w:t>
      </w:r>
    </w:p>
    <w:p>
      <w:r>
        <w:rPr>
          <w:color w:val="555555"/>
          <w:sz w:val="17"/>
        </w:rPr>
        <w:t xml:space="preserve">Zitiervorschlag: § 2 BewachV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https://recht.nulegal.eu/gesetze/BewachV%202019/2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