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BewachV 2019 — Gebrauch der Dienstleistungsfreiheit</w:t>
      </w:r>
    </w:p>
    <w:p>
      <w:r>
        <w:rPr>
          <w:color w:val="555555"/>
          <w:sz w:val="18"/>
        </w:rPr>
        <w:t xml:space="preserve">Bewachungsverordnung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Wenn unter Berücksichtigung der konkret beabsichtigten Tätigkeit bei unzureichender Qualifikation eine schwere Gefahr für die Gesundheit oder Sicherheit der Dienstleistungsempfänger bestünde, hat die für den Vollzug des § 34a der Gewerbeordnung zuständige Behörde vor dem erstmaligen Erbringen einer nur vorübergehenden und gelegentlichen Bewachungsdienstleistung im Inland zu überprüfen, ob ein wesentlicher Unterschied zwischen der Qualifikation der nach § 13a der Gewerbeordnung Anzeige erstattenden Person und den geforderten Kenntnissen besteht.</w:t>
      </w:r>
    </w:p>
    <w:p>
      <w:r>
        <w:t xml:space="preserve">(2) Im Fall des § 13a Absatz 3 der Gewerbeordnung unterrichtet die für den Vollzug des § 34a der Gewerbeordnung zuständige Behörde die Anzeige erstattende Person über ihr Wahlrecht nach § 13c Absatz 3 der Gewerbeordnung.</w:t>
      </w:r>
    </w:p>
    <w:p>
      <w:r>
        <w:rPr>
          <w:color w:val="555555"/>
          <w:sz w:val="17"/>
        </w:rPr>
        <w:t xml:space="preserve">Zitiervorschlag: § 13 BewachV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https://recht.nulegal.eu/gesetze/BewachV%202019/13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