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BewachRV — Automatisiertes Abrufverfahren</w:t>
      </w:r>
    </w:p>
    <w:p>
      <w:r>
        <w:rPr>
          <w:color w:val="555555"/>
          <w:sz w:val="18"/>
        </w:rPr>
        <w:t xml:space="preserve">Bewacherregisterverordnung</w:t>
      </w:r>
    </w:p>
    <w:p>
      <w:r>
        <w:rPr>
          <w:color w:val="555555"/>
          <w:sz w:val="18"/>
        </w:rPr>
        <w:t xml:space="preserve">Stand: 02.07.2019 (konsolidierte Textfassung, kein amtliches Inkrafttretensdatum)</w:t>
      </w:r>
    </w:p>
    <w:p>
      <w:r>
        <w:t xml:space="preserve">(1) Der Abruf aus dem Bewacherregister erfolgt im automatisierten Abrufverfahren. Die Zulassung zum Datenabruf im automatisierten Verfahren ist bei der Registerbehörde zu beantragen. Die Registerbehörde erteilt die Zulassung zum Datenabruf, wenn der Antrag gestellt wird durch</w:t>
      </w:r>
    </w:p>
    <w:p>
      <w:pPr>
        <w:ind w:left="420"/>
      </w:pPr>
      <w:r>
        <w:t xml:space="preserve">1. eine für den Vollzug des § 34a der Gewerbeordnung zuständige Behörde,</w:t>
      </w:r>
    </w:p>
    <w:p>
      <w:pPr>
        <w:ind w:left="420"/>
      </w:pPr>
      <w:r>
        <w:t xml:space="preserve">2. eine im Rahmen der Amtshilfe für den Vollzug des § 34a der Gewerbeordnung zuständige Behörde, insbesondere eine Polizei-, Ordnungs- oder Zollbehörde,</w:t>
      </w:r>
    </w:p>
    <w:p>
      <w:pPr>
        <w:ind w:left="420"/>
      </w:pPr>
      <w:r>
        <w:t xml:space="preserve">3. eine Behörde, die die Aufsicht über eine für den Vollzug des § 34a der Gewerbeordnung zuständige Behörde hat,</w:t>
      </w:r>
    </w:p>
    <w:p>
      <w:pPr>
        <w:ind w:left="420"/>
      </w:pPr>
      <w:r>
        <w:t xml:space="preserve">4. eine Behörde, die Widerspruchsbehörde für den Vollzug des § 34a der Gewerbeordnung betreffende Widerspruchsverfahren ist,</w:t>
      </w:r>
    </w:p>
    <w:p>
      <w:pPr>
        <w:ind w:left="420"/>
      </w:pPr>
      <w:r>
        <w:t xml:space="preserve">5. eine Behörde, die für die Verfolgung von Ordnungswidrigkeiten nach § 144 Absatz 1 Nummer 1 Buchstabe f oder Absatz 2 Nummer 1b der Gewerbeordnung in Verbindung mit § 22 der Bewachungsverordnung zuständig ist, oder</w:t>
      </w:r>
    </w:p>
    <w:p>
      <w:pPr>
        <w:ind w:left="420"/>
      </w:pPr>
      <w:r>
        <w:t xml:space="preserve">6. einen Gewerbetreibenden nach § 34a Absatz 1 der Gewerbeordnung.</w:t>
      </w:r>
    </w:p>
    <w:p>
      <w:r>
        <w:t xml:space="preserve">(2) Der Datenabruf durch Behörden nach Absatz 1 Satz 3 Nummer 1 bis 5 und durch Gewerbetreibende nach Absatz 1 Satz 3 Nummer 6 ist auf den Umfang nach § 10 zu beschränken. Die Zulassung zum Datenabruf im automatisierten Verfahren kann auch nachträglich inhaltlich beschränkt werden.</w:t>
      </w:r>
    </w:p>
    <w:p>
      <w:r>
        <w:t xml:space="preserve">(3) Die Registerbehörde führt zum Zwecke der datenschutzrechtlichen Kontrolle ein Verzeichnis mit dem Zweck der Datenverarbeitung und den zum Abruf im automatisierten Verfahren zugelassenen Behörden und Gewerbetreibenden.</w:t>
      </w:r>
    </w:p>
    <w:p>
      <w:r>
        <w:t xml:space="preserve">(4) Die Registerbehörde trifft die erforderlichen Vorkehrungen, damit keine Daten übermittelt werden, wenn die Identität der abfragenden Stelle nicht zweifelsfrei festgestellt werden kann.</w:t>
      </w:r>
    </w:p>
    <w:p>
      <w:r>
        <w:rPr>
          <w:color w:val="555555"/>
          <w:sz w:val="17"/>
        </w:rPr>
        <w:t xml:space="preserve">Zitiervorschlag: § 9 BewachRV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