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BewachRV — Verwendung von Schnittstellen</w:t>
      </w:r>
    </w:p>
    <w:p>
      <w:r>
        <w:rPr>
          <w:color w:val="555555"/>
          <w:sz w:val="18"/>
        </w:rPr>
        <w:t xml:space="preserve">Bewacherregisterverordnung</w:t>
      </w:r>
    </w:p>
    <w:p>
      <w:r>
        <w:rPr>
          <w:color w:val="555555"/>
          <w:sz w:val="18"/>
        </w:rPr>
        <w:t xml:space="preserve">Stand: 02.07.2019 (konsolidierte Textfassung, kein amtliches Inkrafttretensdatum)</w:t>
      </w:r>
    </w:p>
    <w:p>
      <w:r>
        <w:t xml:space="preserve">(1) Die Registerbehörde stellt Schnittstellen des Bewacherregisters nach Maßgabe der Absätze 2 bis 4 bereit. Die Pflege und Weiterentwicklung der Schnittstellen obliegt der Registerbehörde.</w:t>
      </w:r>
    </w:p>
    <w:p>
      <w:r>
        <w:t xml:space="preserve">(2) Die Schnittstelle zum Bundesamt für Verfassungsschutz erfolgt über einen Datenaustausch des Bewacherregisters mit dem nachrichtendienstlichen Informationssystem, welches durch das Bundesamt für Verfassungsschutz betrieben wird. Bei der Übermittlung und Verarbeitung der Daten ist die jeweilige Geheimhaltungsstufe einzuhalten. Dabei sind die technischen Anforderungen des Bundesamtes für Sicherheit in der Informationstechnik zu beachten.</w:t>
      </w:r>
    </w:p>
    <w:p>
      <w:r>
        <w:t xml:space="preserve">(3) Die Schnittstelle zum Deutschen Industrie- und Handelskammertag e. V. erfolgt über einen Datenaustausch des Bewacherregisters mit der Datenbank für Unterrichtungen und Sachkundeprüfungen im Bewachungsgewerbe, welche durch den Deutschen Industrie- und Handelskammertag e. V. betrieben wird.</w:t>
      </w:r>
    </w:p>
    <w:p>
      <w:r>
        <w:t xml:space="preserve">(4) Die Registerbehörde bietet eine Schnittstelle an, über die der Datenaustausch des Bewacherregisters mit Fachverfahren der für den Vollzug des § 34a der Gewerbeordnung zuständigen Behörden erfolgen kann.</w:t>
      </w:r>
    </w:p>
    <w:p>
      <w:r>
        <w:rPr>
          <w:color w:val="555555"/>
          <w:sz w:val="17"/>
        </w:rPr>
        <w:t xml:space="preserve">Zitiervorschlag: § 7 BewachRV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https://recht.nulegal.eu/gesetze/BewachRV/7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