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BewachRV — Meldungen durch die Registerbehörde</w:t>
      </w:r>
    </w:p>
    <w:p>
      <w:r>
        <w:rPr>
          <w:color w:val="555555"/>
          <w:sz w:val="18"/>
        </w:rPr>
        <w:t xml:space="preserve">Bewacherregisterverordnung</w:t>
      </w:r>
    </w:p>
    <w:p>
      <w:r>
        <w:rPr>
          <w:color w:val="555555"/>
          <w:sz w:val="18"/>
        </w:rPr>
        <w:t xml:space="preserve">Stand: 02.07.2019 (konsolidierte Textfassung, kein amtliches Inkrafttretensdatum)</w:t>
      </w:r>
    </w:p>
    <w:p>
      <w:r>
        <w:t xml:space="preserve">(1) Die Registerbehörde informiert die für den Vollzug des § 34a der Gewerbeordnung zuständige Behörde über den Eingang von Datenübermittlungen durch den Gewerbetreibenden.</w:t>
      </w:r>
    </w:p>
    <w:p>
      <w:r>
        <w:t xml:space="preserve">(2) Soweit Datenänderungen zu einer Änderung der örtlichen Zuständigkeit der für den Vollzug des § 34a der Gewerbeordnung zuständigen Behörde führen, teilt die Registerbehörde diese Datenänderungen den von der Änderung der Zuständigkeit betroffenen Behörden mit.</w:t>
      </w:r>
    </w:p>
    <w:p>
      <w:r>
        <w:rPr>
          <w:color w:val="555555"/>
          <w:sz w:val="17"/>
        </w:rPr>
        <w:t xml:space="preserve">Zitiervorschlag: § 6 BewachRV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https://recht.nulegal.eu/gesetze/BewachRV/6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