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BewachRV — Datenübermittlung für statistische Zwecke</w:t>
      </w:r>
    </w:p>
    <w:p>
      <w:r>
        <w:rPr>
          <w:color w:val="555555"/>
          <w:sz w:val="18"/>
        </w:rPr>
        <w:t xml:space="preserve">Bewacherregisterverordnung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(1) Die Registerbehörde kann den für den Vollzug des § 34a der Gewerbeordnung zuständigen Behörden, den für das Bewachungsrecht zuständigen obersten und oberen Bundes- und Landesbehörden, dem Bundeskriminalamt sowie den Landeskriminalämtern für statistische Zwecke anonymisierte Daten zur Sammlung, Aufbereitung, Darstellung und Analyse bereitstellen.</w:t>
      </w:r>
    </w:p>
    <w:p>
      <w:r>
        <w:t xml:space="preserve">(2) Die Daten nach Absatz 1 dürfen den genannten Behörden nur für ihren jeweiligen Zuständigkeitsbereich übermittelt werden. Ergänzend hierzu können für Vergleichszwecke auf Antrag die korrespondierenden Gesamtzahlen im Bundesgebiet übermittelt werden.</w:t>
      </w:r>
    </w:p>
    <w:p>
      <w:r>
        <w:rPr>
          <w:color w:val="555555"/>
          <w:sz w:val="17"/>
        </w:rPr>
        <w:t xml:space="preserve">Zitiervorschlag: § 12 BewachRV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https://recht.nulegal.eu/gesetze/BewachRV/12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