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BewachRV — Abrufvoraussetzungen</w:t>
      </w:r>
    </w:p>
    <w:p>
      <w:r>
        <w:rPr>
          <w:color w:val="555555"/>
          <w:sz w:val="18"/>
        </w:rPr>
        <w:t xml:space="preserve">Bewacherregisterverordnung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Enthält das Abrufersuchen der nach § 9 Absatz 1 Satz 3 zugelassenen Behörden oder Gewerbetreibenden nicht die nach § 11b Absatz 2 der Gewerbeordnung im Register gespeicherte Identifikationsnummer, muss das Abrufersuchen mindestens folgende Daten enthalten:</w:t>
      </w:r>
    </w:p>
    <w:p>
      <w:pPr>
        <w:ind w:left="420"/>
      </w:pPr>
      <w:r>
        <w:t xml:space="preserve">1. den Familiennamen, mindestens einen Vornamen, die Ausweisart und die Ausweisnummer,</w:t>
      </w:r>
    </w:p>
    <w:p>
      <w:pPr>
        <w:ind w:left="420"/>
      </w:pPr>
      <w:r>
        <w:t xml:space="preserve">2. den Familiennamen, mindestens einen Vornamen und den Wohnort oder den Tag oder den Ort der Geburt,</w:t>
      </w:r>
    </w:p>
    <w:p>
      <w:pPr>
        <w:ind w:left="420"/>
      </w:pPr>
      <w:r>
        <w:t xml:space="preserve">3. den eingetragenen Namen der juristischen Person und den Ort und die Postleitzahl des Sitzes oder einer Niederlassung oder</w:t>
      </w:r>
    </w:p>
    <w:p>
      <w:pPr>
        <w:ind w:left="420"/>
      </w:pPr>
      <w:r>
        <w:t xml:space="preserve">4. den Namen des Gewerbebetriebs und den Ort und die Postleitzahl einer Niederlassung.</w:t>
      </w:r>
    </w:p>
    <w:p>
      <w:r>
        <w:rPr>
          <w:color w:val="555555"/>
          <w:sz w:val="17"/>
        </w:rPr>
        <w:t xml:space="preserve">Zitiervorschlag: § 11 BewachRV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