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42 BewG — (zu § 259 Absatz 1) Normalherstellungskosten</w:t>
      </w:r>
    </w:p>
    <w:p>
      <w:r>
        <w:rPr>
          <w:color w:val="555555"/>
          <w:sz w:val="18"/>
        </w:rPr>
        <w:t xml:space="preserve">Bewertungsgesetz</w:t>
      </w:r>
    </w:p>
    <w:p>
      <w:r>
        <w:rPr>
          <w:color w:val="555555"/>
          <w:sz w:val="18"/>
        </w:rPr>
        <w:t xml:space="preserve">Stand: 10.12.2019 (konsolidierte Textfassung, kein amtliches Inkrafttretensdatum)</w:t>
      </w:r>
    </w:p>
    <w:p>
      <w:r>
        <w:t xml:space="preserve">(Fundstelle: BGBl. I 2019, 1847 – 1848)</w:t>
      </w:r>
    </w:p>
    <w:p>
      <w:pPr>
        <w:ind w:left="420"/>
      </w:pPr>
      <w:r>
        <w:t xml:space="preserve">I. Begriff der Brutto-Grundfläche (BGF)</w:t>
      </w:r>
    </w:p>
    <w:p>
      <w:pPr>
        <w:ind w:left="780"/>
      </w:pPr>
      <w:r>
        <w:t xml:space="preserve">1. Die BGF ist die Summe der bezogen auf die jeweilige Gebäudeart marktüblich nutzbaren Grundflächen aller Grundrissebenen eines Bauwerks. In Anlehnung an die DIN 277-1:2005-02 sind bei den Grundflächen folgende Bereiche zu unterscheiden:Bereich a: überdeckt und allseitig in voller Höhe umschlossen,Bereich b: überdeckt, jedoch nicht allseitig in voller Höhe umschlossen,Bereich c: nicht überdeckt.Für die Anwendung der Normalherstellungskosten (NHK) sind im Rahmen der Ermittlung der BGF nur die Grundflächen der Bereiche a und b zugrunde zu legen. Balkone, auch wenn sie überdeckt sind, sind dem Bereich c zuzuordnen.Für die Ermittlung der BGF sind die äußeren Maße der Bauteile einschließlich Bekleidung, z. B. Putz und Außenschalen mehrschaliger Wandkonstruktionen, in Höhe der Bodenbelagsoberkanten anzusetzen.</w:t>
      </w:r>
    </w:p>
    <w:p>
      <w:pPr>
        <w:ind w:left="780"/>
      </w:pPr>
      <w:r>
        <w:t xml:space="preserve">2. Nicht zur BGF gehören z. B. Flächen von Spitzböden und Kriechkellern, Flächen, die ausschließlich der Wartung, Inspektion und Instandsetzung von Baukonstruktionen und technischen Anlagen dienen, sowie Flächen unter konstruktiven Hohlräumen, z. B. über abgehängten Decken.</w:t>
      </w:r>
    </w:p>
    <w:p>
      <w:pPr>
        <w:ind w:left="420"/>
      </w:pPr>
      <w:r>
        <w:t xml:space="preserve">II. Normalherstellungskosten (NHK)Normalherstellungskosten in Euro/m2 BGF auf der Grundlage der Normalherstellungskosten 2010 (NHK 2010), einschließlich Baunebenkosten und Umsatzsteuer für die jeweilige Gebäudeart (Kostenstand 2010) sowie eines pauschalen Zuschlages für bauliche Anlagen, insbesondere Außenanlagen, und sonstige Anlagen (3 %)</w:t>
      </w:r>
    </w:p>
    <w:p>
      <w:r>
        <w:rPr>
          <w:rFonts w:ascii="Courier New" w:hAnsi="Courier New"/>
          <w:sz w:val="17"/>
        </w:rPr>
        <w:t xml:space="preserve">Gebäudeart    Baujahrgruppe</w:t>
      </w:r>
    </w:p>
    <w:p>
      <w:r>
        <w:rPr>
          <w:rFonts w:ascii="Courier New" w:hAnsi="Courier New"/>
          <w:sz w:val="17"/>
        </w:rPr>
        <w:t xml:space="preserve">vor 1995    1995 – 2004    ab 2005</w:t>
      </w:r>
    </w:p>
    <w:p>
      <w:r>
        <w:rPr>
          <w:rFonts w:ascii="Courier New" w:hAnsi="Courier New"/>
          <w:sz w:val="17"/>
        </w:rPr>
        <w:t xml:space="preserve">1    Gemischt genutzte Grundstücke (Wohnhäuser mit Mischnutzung)    695    886    1 118</w:t>
      </w:r>
    </w:p>
    <w:p>
      <w:r>
        <w:rPr>
          <w:rFonts w:ascii="Courier New" w:hAnsi="Courier New"/>
          <w:sz w:val="17"/>
        </w:rPr>
        <w:t xml:space="preserve">2    Banken und ähnliche Geschäftshäuser    736    937    1 494</w:t>
      </w:r>
    </w:p>
    <w:p>
      <w:r>
        <w:rPr>
          <w:rFonts w:ascii="Courier New" w:hAnsi="Courier New"/>
          <w:sz w:val="17"/>
        </w:rPr>
        <w:t xml:space="preserve">3    Bürogebäude, Verwaltungsgebäude    839    1 071    1 736</w:t>
      </w:r>
    </w:p>
    <w:p>
      <w:r>
        <w:rPr>
          <w:rFonts w:ascii="Courier New" w:hAnsi="Courier New"/>
          <w:sz w:val="17"/>
        </w:rPr>
        <w:t xml:space="preserve">4    Gemeindezentren, Vereinsheime, Saalbauten, Veranstaltungsgebäude    1 004    1 282    1 555</w:t>
      </w:r>
    </w:p>
    <w:p>
      <w:r>
        <w:rPr>
          <w:rFonts w:ascii="Courier New" w:hAnsi="Courier New"/>
          <w:sz w:val="17"/>
        </w:rPr>
        <w:t xml:space="preserve">5    Kindergärten (Kindertagesstätten), allgemeinbildende Schulen, berufsbildende Schulen, Hochschulen, Sonderschulen    1 164    1 488    1 710</w:t>
      </w:r>
    </w:p>
    <w:p>
      <w:r>
        <w:rPr>
          <w:rFonts w:ascii="Courier New" w:hAnsi="Courier New"/>
          <w:sz w:val="17"/>
        </w:rPr>
        <w:t xml:space="preserve">6    Wohnheime, Internate, Alten-, Pflegeheime    876    1 118    1 370</w:t>
      </w:r>
    </w:p>
    <w:p>
      <w:r>
        <w:rPr>
          <w:rFonts w:ascii="Courier New" w:hAnsi="Courier New"/>
          <w:sz w:val="17"/>
        </w:rPr>
        <w:t xml:space="preserve">7    Krankenhäuser, Kliniken, Tageskliniken, Ärztehäuser    1 334    1 705    2 075</w:t>
      </w:r>
    </w:p>
    <w:p>
      <w:r>
        <w:rPr>
          <w:rFonts w:ascii="Courier New" w:hAnsi="Courier New"/>
          <w:sz w:val="17"/>
        </w:rPr>
        <w:t xml:space="preserve">8    Beherbergungsstätten, Hotels, Verpflegungseinrichtungen    1 118    1 427    1 859</w:t>
      </w:r>
    </w:p>
    <w:p>
      <w:r>
        <w:rPr>
          <w:rFonts w:ascii="Courier New" w:hAnsi="Courier New"/>
          <w:sz w:val="17"/>
        </w:rPr>
        <w:t xml:space="preserve">9.1    Sporthallen    1 133    1 447    1 777</w:t>
      </w:r>
    </w:p>
    <w:p>
      <w:r>
        <w:rPr>
          <w:rFonts w:ascii="Courier New" w:hAnsi="Courier New"/>
          <w:sz w:val="17"/>
        </w:rPr>
        <w:t xml:space="preserve">9.2    Tennishallen    814    1 040    1 226</w:t>
      </w:r>
    </w:p>
    <w:p>
      <w:r>
        <w:rPr>
          <w:rFonts w:ascii="Courier New" w:hAnsi="Courier New"/>
          <w:sz w:val="17"/>
        </w:rPr>
        <w:t xml:space="preserve">9.3    Freizeitbäder, Kur- und Heilbäder    1 978    2 524    3 075</w:t>
      </w:r>
    </w:p>
    <w:p>
      <w:r>
        <w:rPr>
          <w:rFonts w:ascii="Courier New" w:hAnsi="Courier New"/>
          <w:sz w:val="17"/>
        </w:rPr>
        <w:t xml:space="preserve">10.1    Verbrauchermärkte    582    742    896</w:t>
      </w:r>
    </w:p>
    <w:p>
      <w:r>
        <w:rPr>
          <w:rFonts w:ascii="Courier New" w:hAnsi="Courier New"/>
          <w:sz w:val="17"/>
        </w:rPr>
        <w:t xml:space="preserve">10.2    Kauf- und Warenhäuser    1 066    1 360    1 633</w:t>
      </w:r>
    </w:p>
    <w:p>
      <w:r>
        <w:rPr>
          <w:rFonts w:ascii="Courier New" w:hAnsi="Courier New"/>
          <w:sz w:val="17"/>
        </w:rPr>
        <w:t xml:space="preserve">10.3    Autohäuser ohne Werkstatt    757    968    1 277</w:t>
      </w:r>
    </w:p>
    <w:p>
      <w:r>
        <w:rPr>
          <w:rFonts w:ascii="Courier New" w:hAnsi="Courier New"/>
          <w:sz w:val="17"/>
        </w:rPr>
        <w:t xml:space="preserve">11.1    Betriebs- und Werkstätten eingeschossig oder mehrgeschossig ohne Hallenanteil; industrielle Produktionsgebäude, Massivbauweise    762    973    1 200</w:t>
      </w:r>
    </w:p>
    <w:p>
      <w:r>
        <w:rPr>
          <w:rFonts w:ascii="Courier New" w:hAnsi="Courier New"/>
          <w:sz w:val="17"/>
        </w:rPr>
        <w:t xml:space="preserve">11.2    Betriebs- und Werkstätten, mehrgeschossig, hoher Hallenanteil; industrielle Produktionsgebäude, überwiegend Skelettbauweise    536    680    942</w:t>
      </w:r>
    </w:p>
    <w:p>
      <w:r>
        <w:rPr>
          <w:rFonts w:ascii="Courier New" w:hAnsi="Courier New"/>
          <w:sz w:val="17"/>
        </w:rPr>
        <w:t xml:space="preserve">12.1    Lagergebäude ohne Mischnutzung, Kaltlager    283    361    505</w:t>
      </w:r>
    </w:p>
    <w:p>
      <w:r>
        <w:rPr>
          <w:rFonts w:ascii="Courier New" w:hAnsi="Courier New"/>
          <w:sz w:val="17"/>
        </w:rPr>
        <w:t xml:space="preserve">12.2    Lagergebäude mit bis zu 25 Prozent Mischnutzung    443    567    711</w:t>
      </w:r>
    </w:p>
    <w:p>
      <w:r>
        <w:rPr>
          <w:rFonts w:ascii="Courier New" w:hAnsi="Courier New"/>
          <w:sz w:val="17"/>
        </w:rPr>
        <w:t xml:space="preserve">12.3    Lagergebäude mit mehr als 25 Prozent Mischnutzung    716    917    1 128</w:t>
      </w:r>
    </w:p>
    <w:p>
      <w:r>
        <w:rPr>
          <w:rFonts w:ascii="Courier New" w:hAnsi="Courier New"/>
          <w:sz w:val="17"/>
        </w:rPr>
        <w:t xml:space="preserve">13    Museen, Theater, Sakralbauten    1 514    1 875    2 395</w:t>
      </w:r>
    </w:p>
    <w:p>
      <w:r>
        <w:rPr>
          <w:rFonts w:ascii="Courier New" w:hAnsi="Courier New"/>
          <w:sz w:val="17"/>
        </w:rPr>
        <w:t xml:space="preserve">14    Reithallen, ehemalige landwirtschaftliche Mehrzweckhallen, Scheunen und Ähnliches    263</w:t>
      </w:r>
    </w:p>
    <w:p>
      <w:r>
        <w:rPr>
          <w:rFonts w:ascii="Courier New" w:hAnsi="Courier New"/>
          <w:sz w:val="17"/>
        </w:rPr>
        <w:t xml:space="preserve">15    Stallbauten    422</w:t>
      </w:r>
    </w:p>
    <w:p>
      <w:r>
        <w:rPr>
          <w:rFonts w:ascii="Courier New" w:hAnsi="Courier New"/>
          <w:sz w:val="17"/>
        </w:rPr>
        <w:t xml:space="preserve">16    Hochgaragen, Tiefgaragen und Nutzfahrzeuggaragen    623</w:t>
      </w:r>
    </w:p>
    <w:p>
      <w:r>
        <w:rPr>
          <w:rFonts w:ascii="Courier New" w:hAnsi="Courier New"/>
          <w:sz w:val="17"/>
        </w:rPr>
        <w:t xml:space="preserve">17    Einzelgaragen, Mehrfachgaragen    500</w:t>
      </w:r>
    </w:p>
    <w:p>
      <w:r>
        <w:rPr>
          <w:rFonts w:ascii="Courier New" w:hAnsi="Courier New"/>
          <w:sz w:val="17"/>
        </w:rPr>
        <w:t xml:space="preserve">18    Carports und Ähnliches    196</w:t>
      </w:r>
    </w:p>
    <w:p>
      <w:r>
        <w:rPr>
          <w:rFonts w:ascii="Courier New" w:hAnsi="Courier New"/>
          <w:sz w:val="17"/>
        </w:rPr>
        <w:t xml:space="preserve">19    Teileigentum Teileigentum ist in Abhängigkeit von der baulichen Gestaltung den vorstehenden Gebäudearten zuzuordnen.</w:t>
      </w:r>
    </w:p>
    <w:p>
      <w:r>
        <w:rPr>
          <w:rFonts w:ascii="Courier New" w:hAnsi="Courier New"/>
          <w:sz w:val="17"/>
        </w:rPr>
        <w:t xml:space="preserve">20    Auffangklausel Normalherstellungskosten für nicht aufgeführte Gebäudearten sind aus den Normalherstellungskosten vergleichbarer Gebäudearten abzuleiten.</w:t>
      </w:r>
    </w:p>
    <w:p>
      <w:r>
        <w:rPr>
          <w:color w:val="555555"/>
          <w:sz w:val="17"/>
        </w:rPr>
        <w:t xml:space="preserve">Zitiervorschlag: Anlage 42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https://recht.nulegal.eu/gesetze/BewG/anlage-42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