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Anlage 40 BewG — (zu § 255) Bewirtschaftungskosten</w:t>
      </w:r>
    </w:p>
    <w:p>
      <w:r>
        <w:rPr>
          <w:color w:val="555555"/>
          <w:sz w:val="18"/>
        </w:rPr>
        <w:t xml:space="preserve">Bewertungsgesetz</w:t>
      </w:r>
    </w:p>
    <w:p>
      <w:r>
        <w:rPr>
          <w:color w:val="555555"/>
          <w:sz w:val="18"/>
        </w:rPr>
        <w:t xml:space="preserve">Stand: 25.01.2021 (konsolidierte Textfassung, kein amtliches Inkrafttretensdatum)</w:t>
      </w:r>
    </w:p>
    <w:p>
      <w:r>
        <w:t xml:space="preserve">(Fundstelle: BGBl. I 2019, 1840)</w:t>
      </w:r>
    </w:p>
    <w:p>
      <w:r>
        <w:t xml:space="preserve">Pauschalierte Bewirtschaftungskosten für Verwaltung, Instandhaltung und Mietausfallwagnis in Prozent des Rohertrags des Grundstücks nach § 254</w:t>
      </w:r>
    </w:p>
    <w:p>
      <w:r>
        <w:rPr>
          <w:rFonts w:ascii="Courier New" w:hAnsi="Courier New"/>
          <w:sz w:val="17"/>
        </w:rPr>
        <w:t xml:space="preserve">Restnutzungsdauer    Grundstücksart</w:t>
      </w:r>
    </w:p>
    <w:p>
      <w:r>
        <w:rPr>
          <w:rFonts w:ascii="Courier New" w:hAnsi="Courier New"/>
          <w:sz w:val="17"/>
        </w:rPr>
        <w:t xml:space="preserve">1    2    3</w:t>
      </w:r>
    </w:p>
    <w:p>
      <w:r>
        <w:rPr>
          <w:rFonts w:ascii="Courier New" w:hAnsi="Courier New"/>
          <w:sz w:val="17"/>
        </w:rPr>
        <w:t xml:space="preserve">Ein- und Zweifamilienhäuser    Wohnungseigentum    Mietwohngrundstück</w:t>
      </w:r>
    </w:p>
    <w:p>
      <w:r>
        <w:rPr>
          <w:rFonts w:ascii="Courier New" w:hAnsi="Courier New"/>
          <w:sz w:val="17"/>
        </w:rPr>
        <w:t xml:space="preserve">≥ 60 Jahre    18    23    21</w:t>
      </w:r>
    </w:p>
    <w:p>
      <w:r>
        <w:rPr>
          <w:rFonts w:ascii="Courier New" w:hAnsi="Courier New"/>
          <w:sz w:val="17"/>
        </w:rPr>
        <w:t xml:space="preserve">40 bis 59 Jahre    21    25    23</w:t>
      </w:r>
    </w:p>
    <w:p>
      <w:r>
        <w:rPr>
          <w:rFonts w:ascii="Courier New" w:hAnsi="Courier New"/>
          <w:sz w:val="17"/>
        </w:rPr>
        <w:t xml:space="preserve">20 bis 39 Jahre    25    29    27</w:t>
      </w:r>
    </w:p>
    <w:p>
      <w:r>
        <w:rPr>
          <w:rFonts w:ascii="Courier New" w:hAnsi="Courier New"/>
          <w:sz w:val="17"/>
        </w:rPr>
        <w:t xml:space="preserve">&lt; 20 Jahre    27    31    29</w:t>
      </w:r>
    </w:p>
    <w:p>
      <w:r>
        <w:rPr>
          <w:color w:val="555555"/>
          <w:sz w:val="17"/>
        </w:rPr>
        <w:t xml:space="preserve">Zitiervorschlag: Anlage 40 BewG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https://recht.nulegal.eu/gesetze/BewG/anlage-40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