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38 BewG — (zu § 253 Absatz 2 und § 259 Absatz 4) Wirtschaftliche Gesamtnutzungsdauer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(Fundstelle: BGBl. I 2019, 1834)</w:t>
      </w:r>
    </w:p>
    <w:p>
      <w:r>
        <w:rPr>
          <w:rFonts w:ascii="Courier New" w:hAnsi="Courier New"/>
          <w:sz w:val="17"/>
        </w:rPr>
        <w:t xml:space="preserve">Ein- und Zweifamilienhäuser    80 Jahre</w:t>
      </w:r>
    </w:p>
    <w:p>
      <w:r>
        <w:rPr>
          <w:rFonts w:ascii="Courier New" w:hAnsi="Courier New"/>
          <w:sz w:val="17"/>
        </w:rPr>
        <w:t xml:space="preserve">Mietwohngrundstücke, Mehrfamilienhäuser    80 Jahre</w:t>
      </w:r>
    </w:p>
    <w:p>
      <w:r>
        <w:rPr>
          <w:rFonts w:ascii="Courier New" w:hAnsi="Courier New"/>
          <w:sz w:val="17"/>
        </w:rPr>
        <w:t xml:space="preserve">Wohnungseigentum    80 Jahre</w:t>
      </w:r>
    </w:p>
    <w:p>
      <w:r>
        <w:rPr>
          <w:rFonts w:ascii="Courier New" w:hAnsi="Courier New"/>
          <w:sz w:val="17"/>
        </w:rPr>
        <w:t xml:space="preserve">Geschäftsgrundstücke, gemischt genutzte Grundstücke und sonstige bebaute Grundstücke:    </w:t>
      </w:r>
    </w:p>
    <w:p>
      <w:r>
        <w:rPr>
          <w:rFonts w:ascii="Courier New" w:hAnsi="Courier New"/>
          <w:sz w:val="17"/>
        </w:rPr>
        <w:t xml:space="preserve">Gemischt genutzte Grundstücke (Wohnhäuser mit Mischnutzung)    80 Jahre</w:t>
      </w:r>
    </w:p>
    <w:p>
      <w:r>
        <w:rPr>
          <w:rFonts w:ascii="Courier New" w:hAnsi="Courier New"/>
          <w:sz w:val="17"/>
        </w:rPr>
        <w:t xml:space="preserve">Museen, Theater, Sakralbauten    70 Jahre</w:t>
      </w:r>
    </w:p>
    <w:p>
      <w:r>
        <w:rPr>
          <w:rFonts w:ascii="Courier New" w:hAnsi="Courier New"/>
          <w:sz w:val="17"/>
        </w:rPr>
        <w:t xml:space="preserve">Bürogebäude, Verwaltungsgebäude    60 Jahre</w:t>
      </w:r>
    </w:p>
    <w:p>
      <w:r>
        <w:rPr>
          <w:rFonts w:ascii="Courier New" w:hAnsi="Courier New"/>
          <w:sz w:val="17"/>
        </w:rPr>
        <w:t xml:space="preserve">Banken und ähnliche Geschäftshäuser    60 Jahre</w:t>
      </w:r>
    </w:p>
    <w:p>
      <w:r>
        <w:rPr>
          <w:rFonts w:ascii="Courier New" w:hAnsi="Courier New"/>
          <w:sz w:val="17"/>
        </w:rPr>
        <w:t xml:space="preserve">Einzelgaragen und Mehrfachgaragen    60 Jahre</w:t>
      </w:r>
    </w:p>
    <w:p>
      <w:r>
        <w:rPr>
          <w:rFonts w:ascii="Courier New" w:hAnsi="Courier New"/>
          <w:sz w:val="17"/>
        </w:rPr>
        <w:t xml:space="preserve">Kindergärten (Kindertagesstätten), allgemeinbildende Schulen und berufsbildende Schulen, Hochschulen, Sonderschulen    50 Jahre</w:t>
      </w:r>
    </w:p>
    <w:p>
      <w:r>
        <w:rPr>
          <w:rFonts w:ascii="Courier New" w:hAnsi="Courier New"/>
          <w:sz w:val="17"/>
        </w:rPr>
        <w:t xml:space="preserve">Wohnheime, Internate, Alten- und Pflegeheime    50 Jahre</w:t>
      </w:r>
    </w:p>
    <w:p>
      <w:r>
        <w:rPr>
          <w:rFonts w:ascii="Courier New" w:hAnsi="Courier New"/>
          <w:sz w:val="17"/>
        </w:rPr>
        <w:t xml:space="preserve">Kauf-/Warenhäuser    50 Jahre</w:t>
      </w:r>
    </w:p>
    <w:p>
      <w:r>
        <w:rPr>
          <w:rFonts w:ascii="Courier New" w:hAnsi="Courier New"/>
          <w:sz w:val="17"/>
        </w:rPr>
        <w:t xml:space="preserve">Krankenhäuser, Kliniken, Tageskliniken, Ärztehäuser    40 Jahre</w:t>
      </w:r>
    </w:p>
    <w:p>
      <w:r>
        <w:rPr>
          <w:rFonts w:ascii="Courier New" w:hAnsi="Courier New"/>
          <w:sz w:val="17"/>
        </w:rPr>
        <w:t xml:space="preserve">Gemeindezentren, Saalbauten, Veranstaltungsgebäude, Vereinsheime    40 Jahre</w:t>
      </w:r>
    </w:p>
    <w:p>
      <w:r>
        <w:rPr>
          <w:rFonts w:ascii="Courier New" w:hAnsi="Courier New"/>
          <w:sz w:val="17"/>
        </w:rPr>
        <w:t xml:space="preserve">Beherbergungsstätten, Hotels, Verpflegungseinrichtungen    40 Jahre</w:t>
      </w:r>
    </w:p>
    <w:p>
      <w:r>
        <w:rPr>
          <w:rFonts w:ascii="Courier New" w:hAnsi="Courier New"/>
          <w:sz w:val="17"/>
        </w:rPr>
        <w:t xml:space="preserve">Sport- und Tennishallen, Freizeitbäder, Kur- und Heilbäder    40 Jahre</w:t>
      </w:r>
    </w:p>
    <w:p>
      <w:r>
        <w:rPr>
          <w:rFonts w:ascii="Courier New" w:hAnsi="Courier New"/>
          <w:sz w:val="17"/>
        </w:rPr>
        <w:t xml:space="preserve">Tief-, Hoch- und Nutzfahrzeuggaragen als Einzelbauwerke, Carports    40 Jahre</w:t>
      </w:r>
    </w:p>
    <w:p>
      <w:r>
        <w:rPr>
          <w:rFonts w:ascii="Courier New" w:hAnsi="Courier New"/>
          <w:sz w:val="17"/>
        </w:rPr>
        <w:t xml:space="preserve">Betriebs- und Werkstätten, Industrie- und Produktionsgebäude    40 Jahre</w:t>
      </w:r>
    </w:p>
    <w:p>
      <w:r>
        <w:rPr>
          <w:rFonts w:ascii="Courier New" w:hAnsi="Courier New"/>
          <w:sz w:val="17"/>
        </w:rPr>
        <w:t xml:space="preserve">Lager- und Versandgebäude    40 Jahre</w:t>
      </w:r>
    </w:p>
    <w:p>
      <w:r>
        <w:rPr>
          <w:rFonts w:ascii="Courier New" w:hAnsi="Courier New"/>
          <w:sz w:val="17"/>
        </w:rPr>
        <w:t xml:space="preserve">Verbrauchermärkte, Autohäuser    30 Jahre</w:t>
      </w:r>
    </w:p>
    <w:p>
      <w:r>
        <w:rPr>
          <w:rFonts w:ascii="Courier New" w:hAnsi="Courier New"/>
          <w:sz w:val="17"/>
        </w:rPr>
        <w:t xml:space="preserve">Reithallen, ehemalige landwirtschaftliche Mehrzweckhallen, Scheunen und Ähnliches    30 Jahre</w:t>
      </w:r>
    </w:p>
    <w:p>
      <w:r>
        <w:t xml:space="preserve">Teileigentum ist in Abhängigkeit von der baulichen Gestaltung den vorstehenden Gebäudearten zuzuordnen.</w:t>
      </w:r>
    </w:p>
    <w:p>
      <w:r>
        <w:t xml:space="preserve">Auffangklausel</w:t>
      </w:r>
    </w:p>
    <w:p>
      <w:r>
        <w:t xml:space="preserve">Für nicht aufgeführte Gebäudearten ist die wirtschaftliche Gesamtnutzungsdauer aus der wirtschaftlichen Gesamtnutzungsdauer vergleichbarer Gebäudearten abzuleiten.</w:t>
      </w:r>
    </w:p>
    <w:p>
      <w:r>
        <w:rPr>
          <w:color w:val="555555"/>
          <w:sz w:val="17"/>
        </w:rPr>
        <w:t xml:space="preserve">Zitiervorschlag: Anlage 38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