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18 BewG — (zu § 163 Abs. 7 und § 164 Abs. 2 und 4) Sondernutzungen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2008, 3062)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Land    Nutzungen    Reingewinn    Pachtpreis    Wert für das Besatzkapital</w:t>
      </w:r>
    </w:p>
    <w:p>
      <w:r>
        <w:rPr>
          <w:rFonts w:ascii="Courier New" w:hAnsi="Courier New"/>
          <w:sz w:val="17"/>
        </w:rPr>
        <w:t xml:space="preserve">EUR/ha LF    EUR/ha LF    EUR/ha LF</w:t>
      </w:r>
    </w:p>
    <w:p>
      <w:r>
        <w:rPr>
          <w:rFonts w:ascii="Courier New" w:hAnsi="Courier New"/>
          <w:sz w:val="17"/>
        </w:rPr>
        <w:t xml:space="preserve">Deutschland    Hopfen    –414    492    348</w:t>
      </w:r>
    </w:p>
    <w:p>
      <w:r>
        <w:rPr>
          <w:rFonts w:ascii="Courier New" w:hAnsi="Courier New"/>
          <w:sz w:val="17"/>
        </w:rPr>
        <w:t xml:space="preserve">Spargel    –1 365    657    612</w:t>
      </w:r>
    </w:p>
    <w:p>
      <w:r>
        <w:rPr>
          <w:rFonts w:ascii="Courier New" w:hAnsi="Courier New"/>
          <w:sz w:val="17"/>
        </w:rPr>
        <w:t xml:space="preserve">Tabak    –820    492    129</w:t>
      </w:r>
    </w:p>
    <w:p>
      <w:r>
        <w:rPr>
          <w:color w:val="555555"/>
          <w:sz w:val="17"/>
        </w:rPr>
        <w:t xml:space="preserve">Zitiervorschlag: Anlage 18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