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BewG — Betriebsgrundstücke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Betriebsgrundstück im Sinne dieses Gesetzes ist der zu einem Gewerbebetrieb gehörige Grundbesitz, soweit er, losgelöst von seiner Zugehörigkeit zu dem Gewerbebetrieb,</w:t>
      </w:r>
    </w:p>
    <w:p>
      <w:pPr>
        <w:ind w:left="420"/>
      </w:pPr>
      <w:r>
        <w:t xml:space="preserve">1. zum Grundvermögen gehören würde oder</w:t>
      </w:r>
    </w:p>
    <w:p>
      <w:pPr>
        <w:ind w:left="420"/>
      </w:pPr>
      <w:r>
        <w:t xml:space="preserve">2. einen Betrieb der Land- und Forstwirtschaft bilden würde.</w:t>
      </w:r>
    </w:p>
    <w:p>
      <w:r>
        <w:t xml:space="preserve">(2) (weggefallen)</w:t>
      </w:r>
    </w:p>
    <w:p>
      <w:r>
        <w:t xml:space="preserve">(3) Betriebsgrundstücke im Sinne des Absatzes 1 Nr. 1 sind wie Grundvermögen, Betriebsgrundstücke im Sinne des Absatzes 1 Nr. 2 wie land- und forstwirtschaftliches Vermögen zu bewerten.</w:t>
      </w:r>
    </w:p>
    <w:p>
      <w:r>
        <w:rPr>
          <w:color w:val="555555"/>
          <w:sz w:val="17"/>
        </w:rPr>
        <w:t xml:space="preserve">Zitiervorschlag: § 99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