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92 BewG — Erbbaurecht</w:t>
      </w:r>
    </w:p>
    <w:p>
      <w:r>
        <w:rPr>
          <w:color w:val="555555"/>
          <w:sz w:val="18"/>
        </w:rPr>
        <w:t xml:space="preserve">Bewertungsgesetz</w:t>
      </w:r>
    </w:p>
    <w:p>
      <w:r>
        <w:rPr>
          <w:color w:val="555555"/>
          <w:sz w:val="18"/>
        </w:rPr>
        <w:t xml:space="preserve">Außer Kraft: § 92 ist seit 01.01.2025 nicht mehr im BewG enthalten. Angezeigt wird die letzte bekannte Fassung, Stand 10.06.2019.</w:t>
      </w:r>
    </w:p>
    <w:p>
      <w:r>
        <w:t xml:space="preserve">(1) Ist ein Grundstück mit einem Erbbaurecht belastet, so ist sowohl für die wirtschaftliche Einheit des Erbbaurechts als auch für die wirtschaftliche Einheit des belasteten Grundstücks jeweils ein Einheitswert festzustellen. Bei der Ermittlung der Einheitswerte ist von einem Gesamtwert auszugehen, der für den Grund und Boden einschließlich der Gebäude und Außenanlagen festzustellen wäre, wenn die Belastung nicht bestünde. Wird der Gesamtwert nach den Vorschriften über die Bewertung der bebauten Grundstücke ermittelt, so gilt jede wirtschaftliche Einheit als bebautes Grundstück der Grundstücksart, von der bei der Ermittlung des Gesamtwerts ausgegangen wird.</w:t>
      </w:r>
    </w:p>
    <w:p>
      <w:r>
        <w:t xml:space="preserve">(2) Beträgt die Dauer des Erbbaurechts in dem für die Bewertung maßgebenden Zeitpunkt noch 50 Jahre oder mehr, so entfällt der Gesamtwert (Absatz 1) allein auf die wirtschaftliche Einheit des Erbbaurechts.</w:t>
      </w:r>
    </w:p>
    <w:p>
      <w:r>
        <w:t xml:space="preserve">(3) Beträgt die Dauer des Erbbaurechts in dem für die Bewertung maßgebenden Zeitpunkt weniger als 50 Jahre, so ist der Gesamtwert (Absatz 1) entsprechend der restlichen Dauer des Erbbaurechts zu verteilen. Dabei entfallen auf</w:t>
      </w:r>
    </w:p>
    <w:p>
      <w:pPr>
        <w:ind w:left="420"/>
      </w:pPr>
      <w:r>
        <w:t xml:space="preserve">1. die wirtschaftliche Einheit des Erbbaurechts:</w:t>
      </w:r>
    </w:p>
    <w:p>
      <w:r>
        <w:rPr>
          <w:rFonts w:ascii="Courier New" w:hAnsi="Courier New"/>
          <w:sz w:val="17"/>
        </w:rPr>
        <w:t xml:space="preserve">der Gebäudewert und ein Anteil am Bodenwert; dieser beträgt bei einer Dauer des Erbbaurechts</w:t>
      </w:r>
    </w:p>
    <w:p>
      <w:r>
        <w:rPr>
          <w:rFonts w:ascii="Courier New" w:hAnsi="Courier New"/>
          <w:sz w:val="17"/>
        </w:rPr>
        <w:t xml:space="preserve">unter 50 bis zu 40 Jahren    95 Prozent,</w:t>
      </w:r>
    </w:p>
    <w:p>
      <w:r>
        <w:rPr>
          <w:rFonts w:ascii="Courier New" w:hAnsi="Courier New"/>
          <w:sz w:val="17"/>
        </w:rPr>
        <w:t xml:space="preserve">unter 40 bis zu 35 Jahren    90 Prozent,</w:t>
      </w:r>
    </w:p>
    <w:p>
      <w:r>
        <w:rPr>
          <w:rFonts w:ascii="Courier New" w:hAnsi="Courier New"/>
          <w:sz w:val="17"/>
        </w:rPr>
        <w:t xml:space="preserve">unter 35 bis zu 30 Jahren    85 Prozent,</w:t>
      </w:r>
    </w:p>
    <w:p>
      <w:r>
        <w:rPr>
          <w:rFonts w:ascii="Courier New" w:hAnsi="Courier New"/>
          <w:sz w:val="17"/>
        </w:rPr>
        <w:t xml:space="preserve">unter 30 bis zu 25 Jahren    80 Prozent,</w:t>
      </w:r>
    </w:p>
    <w:p>
      <w:r>
        <w:rPr>
          <w:rFonts w:ascii="Courier New" w:hAnsi="Courier New"/>
          <w:sz w:val="17"/>
        </w:rPr>
        <w:t xml:space="preserve">unter 25 bis zu 20 Jahren    70 Prozent,</w:t>
      </w:r>
    </w:p>
    <w:p>
      <w:r>
        <w:rPr>
          <w:rFonts w:ascii="Courier New" w:hAnsi="Courier New"/>
          <w:sz w:val="17"/>
        </w:rPr>
        <w:t xml:space="preserve">unter 20 bis zu 15 Jahren    60 Prozent,</w:t>
      </w:r>
    </w:p>
    <w:p>
      <w:r>
        <w:rPr>
          <w:rFonts w:ascii="Courier New" w:hAnsi="Courier New"/>
          <w:sz w:val="17"/>
        </w:rPr>
        <w:t xml:space="preserve">unter 15 bis zu 10 Jahren    45 Prozent,</w:t>
      </w:r>
    </w:p>
    <w:p>
      <w:r>
        <w:rPr>
          <w:rFonts w:ascii="Courier New" w:hAnsi="Courier New"/>
          <w:sz w:val="17"/>
        </w:rPr>
        <w:t xml:space="preserve">unter 10 bis zu 5 Jahren    25 Prozent,</w:t>
      </w:r>
    </w:p>
    <w:p>
      <w:r>
        <w:rPr>
          <w:rFonts w:ascii="Courier New" w:hAnsi="Courier New"/>
          <w:sz w:val="17"/>
        </w:rPr>
        <w:t xml:space="preserve">unter 5 Jahren    0 Prozent;</w:t>
      </w:r>
    </w:p>
    <w:p>
      <w:pPr>
        <w:ind w:left="420"/>
      </w:pPr>
      <w:r>
        <w:t xml:space="preserve">2. die wirtschaftliche Einheit des belasteten Grundstücks: der Anteil am Bodenwert, der nach Abzug des in Nummer 1 genannten Anteils verbleibt.</w:t>
      </w:r>
    </w:p>
    <w:p>
      <w:r>
        <w:t xml:space="preserve">Abweichend von den Nummern 1 und 2 ist in die wirtschaftliche Einheit des belasteten Grundstücks ein Anteil am Gebäudewert einzubeziehen, wenn besondere Vereinbarungen es rechtfertigen. Das gilt insbesondere, wenn bei Erlöschen des Erbbaurechts durch Zeitablauf der Eigentümer des belasteten Grundstücks keine dem Gebäudewert entsprechende Entschädigung zu leisten hat. Geht das Eigentum an dem Gebäude bei Erlöschen des Erbbaurechts durch Zeitablauf entschädigungslos auf den Eigentümer des belasteten Grundstücks über, so ist der Gebäudewert entsprechend der in den Nummern 1 und 2 vorgesehenen Verteilung des Bodenwertes zu verteilen. Beträgt die Entschädigung für das Gebäude beim Übergang nur einen Teil des Gebäudewertes, so ist der dem Eigentümer des belasteten Grundstücks entschädigungslos zufallende Anteil entsprechend zu verteilen. Eine in der Höhe des Erbbauzinses zum Ausdruck kommende Entschädigung für den Gebäudewert bleibt außer Betracht. Der Wert der Außenanlagen wird wie der Gebäudewert behandelt.</w:t>
      </w:r>
    </w:p>
    <w:p>
      <w:r>
        <w:t xml:space="preserve">(4) Hat sich der Erbbauberechtigte durch Vertrag mit dem Eigentümer des belasteten Grundstücks zum Abbruch des Gebäudes bei Beendigung des Erbbaurechts verpflichtet, so ist dieser Umstand durch einen entsprechenden Abschlag zu berücksichtigen; der Abschlag unterbleibt, wenn vorauszusehen ist, daß das Gebäude trotz der Verpflichtung nicht abgebrochen werden wird.</w:t>
      </w:r>
    </w:p>
    <w:p>
      <w:r>
        <w:t xml:space="preserve">(5) Das Recht auf den Erbbauzins ist nicht als Bestandteil des Grundstücks und die Verpflichtung zur Zahlung des Erbbauzinses nicht bei der Bewertung des Erbbaurechts zu berücksichtigen.</w:t>
      </w:r>
    </w:p>
    <w:p>
      <w:r>
        <w:t xml:space="preserve">(6) Bei Wohnungserbbaurechten oder Teilerbbaurechten ist der Gesamtwert (Absatz 1) in gleicher Weise zu ermitteln, wie wenn es sich um Wohnungseigentum oder um Teileigentum handeln würde. Die Verteilung des Gesamtwertes erfolgt entsprechend Absatz 3.</w:t>
      </w:r>
    </w:p>
    <w:p>
      <w:r>
        <w:t xml:space="preserve">(7) Wertfortschreibungen für die wirtschaftlichen Einheiten des Erbbaurechts und des belasteten Grundstücks sind abweichend von § 22 Abs. 1 nur vorzunehmen, wenn der Gesamtwert, der sich für den Beginn eines Kalenderjahres ergibt, vom Gesamtwert des letzten Feststellungszeitpunkts um das in § 22 Abs. 1 bezeichnete Ausmaß abweicht. § 30 ist entsprechend anzuwenden. Bei einer Änderung der Verteilung des Gesamtwerts nach Absatz 3 sind die Einheitswerte für die wirtschaftlichen Einheiten des Erbbaurechts und des belasteten Grundstücks ohne Beachtung von Wertfortschreibungsgrenzen fortzuschreiben.</w:t>
      </w:r>
    </w:p>
    <w:p>
      <w:r>
        <w:rPr>
          <w:color w:val="555555"/>
          <w:sz w:val="17"/>
        </w:rPr>
        <w:t xml:space="preserve">Zitiervorschlag: § 92 BewG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