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BewG — Bewertungsgrundsatz, gemeiner Wert</w:t>
      </w:r>
    </w:p>
    <w:p>
      <w:r>
        <w:rPr>
          <w:color w:val="555555"/>
          <w:sz w:val="18"/>
        </w:rPr>
        <w:t xml:space="preserve">Bewertungsgesetz</w:t>
      </w:r>
    </w:p>
    <w:p>
      <w:r>
        <w:rPr>
          <w:color w:val="555555"/>
          <w:sz w:val="18"/>
        </w:rPr>
        <w:t xml:space="preserve">Stand: 10.06.2019 (konsolidierte Textfassung, kein amtliches Inkrafttretensdatum)</w:t>
      </w:r>
    </w:p>
    <w:p>
      <w:r>
        <w:t xml:space="preserve">(1) Bei Bewertungen ist, soweit nichts anderes vorgeschrieben ist, der gemeine Wert zugrunde zu legen.</w:t>
      </w:r>
    </w:p>
    <w:p>
      <w:r>
        <w:t xml:space="preserve">(2) Der gemeine Wert wird durch den Preis bestimmt, der im gewöhnlichen Geschäftsverkehr nach der Beschaffenheit des Wirtschaftsgutes bei einer Veräußerung zu erzielen wäre. Dabei sind alle Umstände, die den Preis beeinflussen, zu berücksichtigen. Ungewöhnliche oder persönliche Verhältnisse sind nicht zu berücksichtigen.</w:t>
      </w:r>
    </w:p>
    <w:p>
      <w:r>
        <w:t xml:space="preserve">(3) Als persönliche Verhältnisse sind auch Verfügungsbeschränkungen anzusehen, die in der Person des Steuerpflichtigen oder eines Rechtsvorgängers begründet sind. Das gilt insbesondere für Verfügungsbeschränkungen, die auf letztwilligen Anordnungen beruhen.</w:t>
      </w:r>
    </w:p>
    <w:p>
      <w:r>
        <w:rPr>
          <w:color w:val="555555"/>
          <w:sz w:val="17"/>
        </w:rPr>
        <w:t xml:space="preserve">Zitiervorschlag: § 9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https://recht.nulegal.eu/gesetze/BewG/9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