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BewG — Wert der Außenanlagen</w:t>
      </w:r>
    </w:p>
    <w:p>
      <w:r>
        <w:rPr>
          <w:color w:val="555555"/>
          <w:sz w:val="18"/>
        </w:rPr>
        <w:t xml:space="preserve">Bewertungsgesetz</w:t>
      </w:r>
    </w:p>
    <w:p>
      <w:r>
        <w:rPr>
          <w:color w:val="555555"/>
          <w:sz w:val="18"/>
        </w:rPr>
        <w:t xml:space="preserve">Außer Kraft: § 89 ist seit 01.01.2025 nicht mehr im BewG enthalten. Angezeigt wird die letzte bekannte Fassung, Stand 10.06.2019.</w:t>
      </w:r>
    </w:p>
    <w:p>
      <w:r>
        <w:t xml:space="preserve">Der Wert der Außenanlagen (z. B. Umzäunungen, Wege- oder Platzbefestigungen) ist aus durchschnittlichen Herstellungskosten nach den Baupreisverhältnissen des Jahres 1958 zu errechnen und nach den Baupreisverhältnissen im Hauptfeststellungszeitpunkt umzurechnen. Dieser Wert ist wegen des Alters der Außenanlagen im Hauptfeststellungszeitpunkt und wegen etwaiger baulicher Mängel und Schäden zu mindern; die Vorschriften der §§ 86 bis 88 gelten sinngemäß.</w:t>
      </w:r>
    </w:p>
    <w:p>
      <w:r>
        <w:rPr>
          <w:color w:val="555555"/>
          <w:sz w:val="17"/>
        </w:rPr>
        <w:t xml:space="preserve">Zitiervorschlag: § 89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