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BewG — Ermäßigung und Erhöhung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88 ist seit 01.01.2025 nicht mehr im BewG enthalten. Angezeigt wird die letzte bekannte Fassung, Stand 10.06.2019.</w:t>
      </w:r>
    </w:p>
    <w:p>
      <w:r>
        <w:t xml:space="preserve">(1) Der Gebäudesachwert kann ermäßigt oder erhöht werden, wenn Umstände tatsächlicher Art vorliegen, die bei seiner Ermittlung nicht berücksichtigt worden sind.</w:t>
      </w:r>
    </w:p>
    <w:p>
      <w:r>
        <w:t xml:space="preserve">(2) Eine Ermäßigung kann insbesondere in Betracht kommen, wenn Gebäude wegen der Lage des Grundstücks, wegen unorganischen Aufbaus oder wirtschaftlicher Überalterung in ihrem Wert gemindert sind.</w:t>
      </w:r>
    </w:p>
    <w:p>
      <w:r>
        <w:t xml:space="preserve">(3) Ein besonderer Zuschlag ist zu machen, wenn ein Grundstück nachhaltig gegen Entgelt für Reklamezwecke genutzt wird.</w:t>
      </w:r>
    </w:p>
    <w:p>
      <w:r>
        <w:rPr>
          <w:color w:val="555555"/>
          <w:sz w:val="17"/>
        </w:rPr>
        <w:t xml:space="preserve">Zitiervorschlag: § 88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