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 BewG — Wertminderung wegen baulicher Mängel und Schäden</w:t>
      </w:r>
    </w:p>
    <w:p>
      <w:r>
        <w:rPr>
          <w:color w:val="555555"/>
          <w:sz w:val="18"/>
        </w:rPr>
        <w:t xml:space="preserve">Bewertungsgesetz</w:t>
      </w:r>
    </w:p>
    <w:p>
      <w:r>
        <w:rPr>
          <w:color w:val="555555"/>
          <w:sz w:val="18"/>
        </w:rPr>
        <w:t xml:space="preserve">Außer Kraft: § 87 ist seit 01.01.2025 nicht mehr im BewG enthalten. Angezeigt wird die letzte bekannte Fassung, Stand 10.06.2019.</w:t>
      </w:r>
    </w:p>
    <w:p>
      <w:r>
        <w:t xml:space="preserve">Für bauliche Mängel und Schäden, die weder bei der Ermittlung des Gebäudenormalherstellungswertes noch bei der Wertminderung wegen Alters berücksichtigt worden sind, ist ein Abschlag zu machen. Die Höhe des Abschlags richtet sich nach Bedeutung und Ausmaß der Mängel und Schäden.</w:t>
      </w:r>
    </w:p>
    <w:p>
      <w:r>
        <w:rPr>
          <w:color w:val="555555"/>
          <w:sz w:val="17"/>
        </w:rPr>
        <w:t xml:space="preserve">Zitiervorschlag: § 87 BewG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https://recht.nulegal.eu/gesetze/BewG/87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