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BewG — Wertminderung wegen Alters</w:t>
      </w:r>
    </w:p>
    <w:p>
      <w:r>
        <w:rPr>
          <w:color w:val="555555"/>
          <w:sz w:val="18"/>
        </w:rPr>
        <w:t xml:space="preserve">Bewertungsgesetz</w:t>
      </w:r>
    </w:p>
    <w:p>
      <w:r>
        <w:rPr>
          <w:color w:val="555555"/>
          <w:sz w:val="18"/>
        </w:rPr>
        <w:t xml:space="preserve">Außer Kraft: § 86 ist seit 01.01.2025 nicht mehr im BewG enthalten. Angezeigt wird die letzte bekannte Fassung, Stand 10.06.2019.</w:t>
      </w:r>
    </w:p>
    <w:p>
      <w:r>
        <w:t xml:space="preserve">(1) Die Wertminderung wegen Alters bestimmt sich nach dem Alter des Gebäudes im Hauptfeststellungszeitpunkt und der gewöhnlichen Lebensdauer von Gebäuden gleicher Art und Nutzung. Sie ist in einem Prozentsatz des Gebäudenormalherstellungswertes auszudrücken. Dabei ist von einer gleichbleibenden jährlichen Wertminderung auszugehen.</w:t>
      </w:r>
    </w:p>
    <w:p>
      <w:r>
        <w:t xml:space="preserve">(2) Als Alter des Gebäudes gilt die Zeit zwischen dem Beginn des Jahres, in dem das Gebäude bezugsfertig geworden ist, und dem Hauptfeststellungszeitpunkt.</w:t>
      </w:r>
    </w:p>
    <w:p>
      <w:r>
        <w:t xml:space="preserve">(3) Als Wertminderung darf insgesamt kein höherer Betrag abgesetzt werden, als sich bei einem Alter von siebzig Prozent der Lebensdauer ergibt. Dieser Betrag kann nur überschritten werden, wenn eine außergewöhnliche Wertminderung vorliegt.</w:t>
      </w:r>
    </w:p>
    <w:p>
      <w:r>
        <w:t xml:space="preserve">(4) Ist die restliche Lebensdauer eines Gebäudes infolge baulicher Maßnahmen verlängert, so ist der nach dem tatsächlichen Alter errechnete Prozentsatz entsprechend zu mindern.</w:t>
      </w:r>
    </w:p>
    <w:p>
      <w:r>
        <w:rPr>
          <w:color w:val="555555"/>
          <w:sz w:val="17"/>
        </w:rPr>
        <w:t xml:space="preserve">Zitiervorschlag: § 86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