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BewG — Gebäudewert</w:t>
      </w:r>
    </w:p>
    <w:p>
      <w:r>
        <w:rPr>
          <w:color w:val="555555"/>
          <w:sz w:val="18"/>
        </w:rPr>
        <w:t xml:space="preserve">Bewertungsgesetz</w:t>
      </w:r>
    </w:p>
    <w:p>
      <w:r>
        <w:rPr>
          <w:color w:val="555555"/>
          <w:sz w:val="18"/>
        </w:rPr>
        <w:t xml:space="preserve">Außer Kraft: § 85 ist seit 01.01.2025 nicht mehr im BewG enthalten. Angezeigt wird die letzte bekannte Fassung, Stand 10.06.2019.</w:t>
      </w:r>
    </w:p>
    <w:p>
      <w:r>
        <w:t xml:space="preserve">Bei der Ermittlung des Gebäudewertes ist zunächst ein Wert auf der Grundlage von durchschnittlichen Herstellungskosten nach den Baupreisverhältnissen des Jahres 1958 zu errechnen. Dieser Wert ist nach den Baupreisverhältnissen im Hauptfeststellungszeitpunkt umzurechnen (Gebäudenormalherstellungswert). Der Gebäudenormalherstellungswert ist wegen des Alters des Gebäudes im Hauptfeststellungszeitpunkt (§ 86) und wegen etwa vorhandener baulicher Mängel und Schäden (§ 87) zu mindern (Gebäudesachwert). Der Gebäudesachwert kann in besonderen Fällen ermäßigt oder erhöht werden (§ 88).</w:t>
      </w:r>
    </w:p>
    <w:p>
      <w:r>
        <w:rPr>
          <w:color w:val="555555"/>
          <w:sz w:val="17"/>
        </w:rPr>
        <w:t xml:space="preserve">Zitiervorschlag: § 85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