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BewG — Außergewöhnliche Grundsteuerbelastung</w:t>
      </w:r>
    </w:p>
    <w:p>
      <w:r>
        <w:rPr>
          <w:color w:val="555555"/>
          <w:sz w:val="18"/>
        </w:rPr>
        <w:t xml:space="preserve">Bewertungsgesetz</w:t>
      </w:r>
    </w:p>
    <w:p>
      <w:r>
        <w:rPr>
          <w:color w:val="555555"/>
          <w:sz w:val="18"/>
        </w:rPr>
        <w:t xml:space="preserve">Außer Kraft: § 81 ist seit 01.01.2025 nicht mehr im BewG enthalten. Angezeigt wird die letzte bekannte Fassung, Stand 10.06.2019.</w:t>
      </w:r>
    </w:p>
    <w:p>
      <w:r>
        <w:t xml:space="preserve">Weicht im Hauptfeststellungszeitpunkt die Grundsteuerbelastung in einer Gemeinde erheblich von der in den Vervielfältigern berücksichtigten Grundsteuerbelastung ab, so sind die Grundstückswerte in diesen Gemeinden bis zu 10 Prozent zu ermäßigen oder zu erhöhen. Die Prozentsätze werden durch Rechtsverordnung bestimmt.</w:t>
      </w:r>
    </w:p>
    <w:p>
      <w:r>
        <w:rPr>
          <w:color w:val="555555"/>
          <w:sz w:val="17"/>
        </w:rPr>
        <w:t xml:space="preserve">Zitiervorschlag: § 81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