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BewG — Auflösend bedingte Lasten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Lasten, deren Fortdauer auflösend bedingt ist, werden, soweit nicht ihr Kapitalwert nach § 13 Abs. 2 und 3, § 14, § 15 Abs. 3 zu berechnen ist, wie unbedingte abgezogen.</w:t>
      </w:r>
    </w:p>
    <w:p>
      <w:r>
        <w:t xml:space="preserve">(2) Tritt die Bedingung ein, so ist die Festsetzung der nicht laufend veranlagten Steuern entsprechend zu berichtigen.</w:t>
      </w:r>
    </w:p>
    <w:p>
      <w:r>
        <w:rPr>
          <w:color w:val="555555"/>
          <w:sz w:val="17"/>
        </w:rPr>
        <w:t xml:space="preserve">Zitiervorschlag: § 7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