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BewG — Aufschiebend bedingte Lasten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Lasten, deren Entstehung vom Eintritt einer aufschiebenden Bedingung abhängt, werden nicht berücksichtigt.</w:t>
      </w:r>
    </w:p>
    <w:p>
      <w:r>
        <w:t xml:space="preserve">(2) Für den Fall des Eintritts der Bedingung gilt § 5 Abs. 2 entsprechend.</w:t>
      </w:r>
    </w:p>
    <w:p>
      <w:r>
        <w:rPr>
          <w:color w:val="555555"/>
          <w:sz w:val="17"/>
        </w:rPr>
        <w:t xml:space="preserve">Zitiervorschlag: § 6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