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57 BewG — Bewertungsstützpunkte</w:t>
      </w:r>
    </w:p>
    <w:p>
      <w:r>
        <w:rPr>
          <w:color w:val="555555"/>
          <w:sz w:val="18"/>
        </w:rPr>
        <w:t xml:space="preserve">Bewertungsgesetz</w:t>
      </w:r>
    </w:p>
    <w:p>
      <w:r>
        <w:rPr>
          <w:color w:val="555555"/>
          <w:sz w:val="18"/>
        </w:rPr>
        <w:t xml:space="preserve">Außer Kraft: § 57 ist seit 01.01.2025 nicht mehr im BewG enthalten. Angezeigt wird die letzte bekannte Fassung, Stand 10.06.2019.</w:t>
      </w:r>
    </w:p>
    <w:p>
      <w:r>
        <w:t xml:space="preserve">Als Bewertungsstützpunkte dienen Weinbaulagen oder Teile von Weinbaulagen.</w:t>
      </w:r>
    </w:p>
    <w:p>
      <w:r>
        <w:rPr>
          <w:color w:val="555555"/>
          <w:sz w:val="17"/>
        </w:rPr>
        <w:t xml:space="preserve">Zitiervorschlag: § 57 BewG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https://recht.nulegal.eu/gesetze/BewG/57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