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54 BewG — Bewertungsstichtag</w:t>
      </w:r>
    </w:p>
    <w:p>
      <w:r>
        <w:rPr>
          <w:color w:val="555555"/>
          <w:sz w:val="18"/>
        </w:rPr>
        <w:t xml:space="preserve">Bewertungsgesetz</w:t>
      </w:r>
    </w:p>
    <w:p>
      <w:r>
        <w:rPr>
          <w:color w:val="555555"/>
          <w:sz w:val="18"/>
        </w:rPr>
        <w:t xml:space="preserve">Außer Kraft: § 54 ist seit 01.01.2025 nicht mehr im BewG enthalten. Angezeigt wird die letzte bekannte Fassung, Stand 10.06.2019.</w:t>
      </w:r>
    </w:p>
    <w:p>
      <w:r>
        <w:t xml:space="preserve">Abweichend von § 35 Abs. 1 sind für den Umfang und den Zustand des Bestandes an nicht eingeschlagenem Holz die Verhältnisse am Ende des Wirtschaftsjahres zugrunde zu legen, das dem Feststellungszeitpunkt vorangegangen ist.</w:t>
      </w:r>
    </w:p>
    <w:p>
      <w:r>
        <w:rPr>
          <w:color w:val="555555"/>
          <w:sz w:val="17"/>
        </w:rPr>
        <w:t xml:space="preserve">Zitiervorschlag: § 54 BewG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https://recht.nulegal.eu/gesetze/BewG/54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