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52 BewG — Sonderkulturen</w:t>
      </w:r>
    </w:p>
    <w:p>
      <w:r>
        <w:rPr>
          <w:color w:val="555555"/>
          <w:sz w:val="18"/>
        </w:rPr>
        <w:t xml:space="preserve">Bewertungsgesetz</w:t>
      </w:r>
    </w:p>
    <w:p>
      <w:r>
        <w:rPr>
          <w:color w:val="555555"/>
          <w:sz w:val="18"/>
        </w:rPr>
        <w:t xml:space="preserve">Außer Kraft: § 52 ist seit 01.01.2025 nicht mehr im BewG enthalten. Angezeigt wird die letzte bekannte Fassung, Stand 10.06.2019.</w:t>
      </w:r>
    </w:p>
    <w:p>
      <w:r>
        <w:t xml:space="preserve">Hopfen, Spargel und andere Sonderkulturen sind als landwirtschaftliche Nutzungsteile (§ 37 Abs. 1) zu bewerten.</w:t>
      </w:r>
    </w:p>
    <w:p>
      <w:r>
        <w:rPr>
          <w:color w:val="555555"/>
          <w:sz w:val="17"/>
        </w:rPr>
        <w:t xml:space="preserve">Zitiervorschlag: § 52 BewG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https://recht.nulegal.eu/gesetze/BewG/52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