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BewG — Ertragsbedingungen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50 ist seit 01.01.2025 nicht mehr im BewG enthalten. Angezeigt wird die letzte bekannte Fassung, Stand 10.06.2019.</w:t>
      </w:r>
    </w:p>
    <w:p>
      <w:r>
        <w:t xml:space="preserve">(1) Bei der Beurteilung der natürlichen Ertragsbedingungen (§ 38 Abs. 2 Nr. 1 Buchstabe a) ist von den Ergebnissen der Bodenschätzung nach dem Bodenschätzungsgesetz auszugehen. Dies gilt auch für das Bodenartenverhältnis.</w:t>
      </w:r>
    </w:p>
    <w:p>
      <w:r>
        <w:t xml:space="preserve">(2) Ist durch die natürlichen Verhältnisse ein anderes als das in der betreffenden Gegend regelmäßige Kulturartenverhältnis bedingt, so ist abweichend von § 38 Abs. 2 Nr. 2 das tatsächliche Kulturartenverhältnis maßgebend.</w:t>
      </w:r>
    </w:p>
    <w:p>
      <w:r>
        <w:rPr>
          <w:color w:val="555555"/>
          <w:sz w:val="17"/>
        </w:rPr>
        <w:t xml:space="preserve">Zitiervorschlag: § 50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