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BewG — Auflösend bedingter Erwerb</w:t>
      </w:r>
    </w:p>
    <w:p>
      <w:r>
        <w:rPr>
          <w:color w:val="555555"/>
          <w:sz w:val="18"/>
        </w:rPr>
        <w:t xml:space="preserve">Bewertungsgesetz</w:t>
      </w:r>
    </w:p>
    <w:p>
      <w:r>
        <w:rPr>
          <w:color w:val="555555"/>
          <w:sz w:val="18"/>
        </w:rPr>
        <w:t xml:space="preserve">Stand: 10.06.2019 (konsolidierte Textfassung, kein amtliches Inkrafttretensdatum)</w:t>
      </w:r>
    </w:p>
    <w:p>
      <w:r>
        <w:t xml:space="preserve">(1) Wirtschaftsgüter, die unter einer auflösenden Bedingung erworben sind, werden wie unbedingt erworbene behandelt. Die Vorschriften über die Berechnung des Kapitalwerts der Nutzungen von unbestimmter Dauer (§ 13 Abs. 2 und 3, § 14, § 15 Abs. 3) bleiben unberührt.</w:t>
      </w:r>
    </w:p>
    <w:p>
      <w:r>
        <w:t xml:space="preserve">(2) Tritt die Bedingung ein, so ist die Festsetzung der nicht laufend veranlagten Steuern auf Antrag nach dem tatsächlichen Wert des Erwerbs zu berichtigen. Der Antrag ist bis zum Ablauf des Jahres zu stellen, das auf den Eintritt der Bedingung folgt.</w:t>
      </w:r>
    </w:p>
    <w:p>
      <w:r>
        <w:rPr>
          <w:color w:val="555555"/>
          <w:sz w:val="17"/>
        </w:rPr>
        <w:t xml:space="preserve">Zitiervorschlag: § 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