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48a BewG — Einheitswert bestimmter intensiv genutzter Flächen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48a ist seit 01.01.2025 nicht mehr im BewG enthalten. Angezeigt wird die letzte bekannte Fassung, Stand 10.06.2019.</w:t>
      </w:r>
    </w:p>
    <w:p>
      <w:r>
        <w:t xml:space="preserve">Werden Betriebsflächen durch einen anderen Nutzungsberechtigten als den Eigentümer bewirtschaftet, so ist</w:t>
      </w:r>
    </w:p>
    <w:p>
      <w:pPr>
        <w:ind w:left="420"/>
      </w:pPr>
      <w:r>
        <w:t xml:space="preserve">1. bei der Sonderkultur Spargel (§ 52),</w:t>
      </w:r>
    </w:p>
    <w:p>
      <w:pPr>
        <w:ind w:left="420"/>
      </w:pPr>
      <w:r>
        <w:t xml:space="preserve">2. bei den gärtnerischen Nutzungsteilen Gemüse, Blumen- und Zierpflanzenbau sowie Baumschulen (§ 61),</w:t>
      </w:r>
    </w:p>
    <w:p>
      <w:pPr>
        <w:ind w:left="420"/>
      </w:pPr>
      <w:r>
        <w:t xml:space="preserve">3. bei der Saatzucht (§ 62 Abs. 1 Nr. 6)</w:t>
      </w:r>
    </w:p>
    <w:p>
      <w:r>
        <w:t xml:space="preserve">der Unterschiedsbetrag zwischen dem für landwirtschaftliche Nutzung maßgebenden Vergleichswert und dem höheren Vergleichswert, der durch die unter den Nummern 1 bis 3 bezeichneten Nutzungen bedingt ist, bei der Feststellung des Einheitswerts des Eigentümers nicht zu berücksichtigen und für den Nutzungsberechtigten als selbständiger Einheitswert festzustellen. Ist ein Einheitswert für land- und forstwirtschaftliches Vermögen des Nutzungsberechtigten festzustellen, so ist der Unterschiedsbetrag in diesen Einheitswert einzubeziehen. Die Sätze 1 und 2 gelten nicht, wenn der Eigentümer die Flächen bereits intensiv im Sinne der Nummern 1 bis 3 genutzt hat.</w:t>
      </w:r>
    </w:p>
    <w:p>
      <w:r>
        <w:rPr>
          <w:color w:val="555555"/>
          <w:sz w:val="17"/>
        </w:rPr>
        <w:t xml:space="preserve">Zitiervorschlag: § 48a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https://recht.nulegal.eu/gesetze/BewG/48a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