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BewG — Zusammensetzung des Einheitswerts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48 ist seit 01.01.2025 nicht mehr im BewG enthalten. Angezeigt wird die letzte bekannte Fassung, Stand 10.06.2019.</w:t>
      </w:r>
    </w:p>
    <w:p>
      <w:r>
        <w:t xml:space="preserve">Der Wirtschaftswert und der Wohnungswert bilden zusammen den Einheitswert des Betriebs.</w:t>
      </w:r>
    </w:p>
    <w:p>
      <w:r>
        <w:rPr>
          <w:color w:val="555555"/>
          <w:sz w:val="17"/>
        </w:rPr>
        <w:t xml:space="preserve">Zitiervorschlag: § 48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