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BewG — Wirtschaftswert</w:t>
      </w:r>
    </w:p>
    <w:p>
      <w:r>
        <w:rPr>
          <w:color w:val="555555"/>
          <w:sz w:val="18"/>
        </w:rPr>
        <w:t xml:space="preserve">Bewertungsgesetz</w:t>
      </w:r>
    </w:p>
    <w:p>
      <w:r>
        <w:rPr>
          <w:color w:val="555555"/>
          <w:sz w:val="18"/>
        </w:rPr>
        <w:t xml:space="preserve">Außer Kraft: § 46 ist seit 01.01.2025 nicht mehr im BewG enthalten. Angezeigt wird die letzte bekannte Fassung, Stand 10.06.2019.</w:t>
      </w:r>
    </w:p>
    <w:p>
      <w:r>
        <w:t xml:space="preserve">Aus den Vergleichswerten (§ 40 Abs. 1) und den Abschlägen und Zuschlägen (§ 41), aus den Einzelertragswerten sowie aus den Werten der nach den §§ 42 bis 44 gesondert zu bewertenden Wirtschaftsgüter wird der Wert für den Wirtschaftsteil (Wirtschaftswert) gebildet. Für seine Ermittlung gelten außer den Bestimmungen in den §§ 35 bis 45 auch die besonderen Vorschriften in den §§ 50 bis 62.</w:t>
      </w:r>
    </w:p>
    <w:p>
      <w:r>
        <w:rPr>
          <w:color w:val="555555"/>
          <w:sz w:val="17"/>
        </w:rPr>
        <w:t xml:space="preserve">Zitiervorschlag: § 46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