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BewG — Geringstland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44 ist seit 01.01.2025 nicht mehr im BewG enthalten. Angezeigt wird die letzte bekannte Fassung, Stand 10.06.2019.</w:t>
      </w:r>
    </w:p>
    <w:p>
      <w:r>
        <w:t xml:space="preserve">(1) Zum Geringstland gehören die Betriebsflächen geringster Ertragsfähigkeit, für die nach dem Bodenschätzungsgesetz keine Wertzahlen festzustellen sind.</w:t>
      </w:r>
    </w:p>
    <w:p>
      <w:r>
        <w:t xml:space="preserve">(2) Geringstland ist mit einem Hektarwert von 50 Deutschen Mark zu bewerten.</w:t>
      </w:r>
    </w:p>
    <w:p>
      <w:r>
        <w:rPr>
          <w:color w:val="555555"/>
          <w:sz w:val="17"/>
        </w:rPr>
        <w:t xml:space="preserve">Zitiervorschlag: § 44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