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BewG — Abbauland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43 ist seit 01.01.2025 nicht mehr im BewG enthalten. Angezeigt wird die letzte bekannte Fassung, Stand 10.06.2019.</w:t>
      </w:r>
    </w:p>
    <w:p>
      <w:r>
        <w:t xml:space="preserve">(1) Zum Abbauland gehören die Betriebsflächen, die durch Abbau der Bodensubstanz überwiegend für den Betrieb nutzbar gemacht werden (Sand-, Kies-, Lehmgruben, Steinbrüche, Torfstiche und dergleichen).</w:t>
      </w:r>
    </w:p>
    <w:p>
      <w:r>
        <w:t xml:space="preserve">(2) Das Abbauland ist gesondert mit dem Einzelertragswert zu bewerten.</w:t>
      </w:r>
    </w:p>
    <w:p>
      <w:r>
        <w:rPr>
          <w:color w:val="555555"/>
          <w:sz w:val="17"/>
        </w:rPr>
        <w:t xml:space="preserve">Zitiervorschlag: § 43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