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BewG — Bewertungsstützpunkte</w:t>
      </w:r>
    </w:p>
    <w:p>
      <w:r>
        <w:rPr>
          <w:color w:val="555555"/>
          <w:sz w:val="18"/>
        </w:rPr>
        <w:t xml:space="preserve">Bewertungsgesetz</w:t>
      </w:r>
    </w:p>
    <w:p>
      <w:r>
        <w:rPr>
          <w:color w:val="555555"/>
          <w:sz w:val="18"/>
        </w:rPr>
        <w:t xml:space="preserve">Außer Kraft: § 39 ist seit 01.01.2025 nicht mehr im BewG enthalten. Angezeigt wird die letzte bekannte Fassung, Stand 10.06.2019.</w:t>
      </w:r>
    </w:p>
    <w:p>
      <w:r>
        <w:t xml:space="preserve">(1) Zur Sicherung der Gleichmäßigkeit der Bewertung werden in einzelnen Betrieben mit gegendüblichen Ertragsbedingungen die Vergleichszahlen von Nutzungen und Nutzungsteilen vorweg ermittelt (Hauptbewertungsstützpunkte). Die Vergleichszahlen der Hauptbewertungsstützpunkte werden vom Bewertungsbeirat (§§ 63 bis 66) vorgeschlagen und durch Rechtsverordnung festgesetzt. Die Vergleichszahlen der Nutzungen und Nutzungsteile in den übrigen Betrieben werden durch Vergleich mit den Vergleichszahlen der Hauptbewertungsstützpunkte ermittelt. § 55 bleibt unberührt.</w:t>
      </w:r>
    </w:p>
    <w:p>
      <w:r>
        <w:t xml:space="preserve">(2) Die Hauptbewertungsstützpunkte können durch Landes-Bewertungsstützpunkte und Orts-Bewertungsstützpunkte als Bewertungsbeispiele ergänzt werden. Die Vergleichszahlen der Landes-Bewertungsstützpunkte werden vom Gutachterausschuß (§ 67), die Vergleichszahlen der Orts-Bewertungsstützpunkte von den Landesfinanzbehörden ermittelt. Die Vergleichszahlen der Landes-Bewertungsstützpunkte und Orts-Bewertungsstützpunkte können bekanntgegeben werden.</w:t>
      </w:r>
    </w:p>
    <w:p>
      <w:r>
        <w:t xml:space="preserve">(3) Zugepachtete Flächen, die zusammen mit einem Bewertungsstützpunkt bewirtschaftet werden, können bei der Ermittlung der Vergleichszahlen mit berücksichtigt werden. Bei der Feststellung des Einheitswerts eines Betriebs, der als Bewertungsstützpunkt dient, sind zugepachtete Flächen nicht zu berücksichtigen (§ 2 Abs. 2).</w:t>
      </w:r>
    </w:p>
    <w:p>
      <w:r>
        <w:rPr>
          <w:color w:val="555555"/>
          <w:sz w:val="17"/>
        </w:rPr>
        <w:t xml:space="preserve">Zitiervorschlag: § 39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