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BewG — Vergleichszahl, Ertragsbedingungen</w:t>
      </w:r>
    </w:p>
    <w:p>
      <w:r>
        <w:rPr>
          <w:color w:val="555555"/>
          <w:sz w:val="18"/>
        </w:rPr>
        <w:t xml:space="preserve">Bewertungsgesetz</w:t>
      </w:r>
    </w:p>
    <w:p>
      <w:r>
        <w:rPr>
          <w:color w:val="555555"/>
          <w:sz w:val="18"/>
        </w:rPr>
        <w:t xml:space="preserve">Außer Kraft: § 38 ist seit 01.01.2025 nicht mehr im BewG enthalten. Angezeigt wird die letzte bekannte Fassung, Stand 10.06.2019.</w:t>
      </w:r>
    </w:p>
    <w:p>
      <w:r>
        <w:t xml:space="preserve">(1) Die Unterschiede der Ertragsfähigkeit der gleichen Nutzung in den verschiedenen Betrieben werden durch Vergleich der Ertragsbedingungen beurteilt und vorbehaltlich der §§ 55 und 62 durch Zahlen ausgedrückt, die dem Verhältnis der Reinerträge entsprechen (Vergleichszahlen).</w:t>
      </w:r>
    </w:p>
    <w:p>
      <w:r>
        <w:t xml:space="preserve">(2) Bei dem Vergleich der Ertragsbedingungen sind zugrunde zu legen</w:t>
      </w:r>
    </w:p>
    <w:p>
      <w:pPr>
        <w:ind w:left="420"/>
      </w:pPr>
      <w:r>
        <w:t xml:space="preserve">1. die tatsächlichen Verhältnisse für:</w:t>
      </w:r>
    </w:p>
    <w:p>
      <w:pPr>
        <w:ind w:left="780"/>
      </w:pPr>
      <w:r>
        <w:t xml:space="preserve">a) die natürlichen Ertragsbedingungen, insbesondere Bodenbeschaffenheit, Geländegestaltung, klimatische Verhältnisse,</w:t>
      </w:r>
    </w:p>
    <w:p>
      <w:pPr>
        <w:ind w:left="780"/>
      </w:pPr>
      <w:r>
        <w:t xml:space="preserve">b) die folgenden wirtschaftlichen Ertragsbedingungen:</w:t>
      </w:r>
    </w:p>
    <w:p>
      <w:pPr>
        <w:ind w:left="1140"/>
      </w:pPr>
      <w:r>
        <w:t xml:space="preserve">aa) innere Verkehrslage (Lage für die Bewirtschaftung der Betriebsfläche),</w:t>
      </w:r>
    </w:p>
    <w:p>
      <w:pPr>
        <w:ind w:left="1140"/>
      </w:pPr>
      <w:r>
        <w:t xml:space="preserve">bb) äußere Verkehrslage (insbesondere Lage für die Anfuhr der Betriebsmittel und die Abfuhr der Erzeugnisse),</w:t>
      </w:r>
    </w:p>
    <w:p>
      <w:pPr>
        <w:ind w:left="1140"/>
      </w:pPr>
      <w:r>
        <w:t xml:space="preserve">cc) Betriebsgröße;</w:t>
      </w:r>
    </w:p>
    <w:p>
      <w:pPr>
        <w:ind w:left="420"/>
      </w:pPr>
      <w:r>
        <w:t xml:space="preserve">2. die in der Gegend als regelmäßig anzusehenden Verhältnisse für die in Nummer 1 Buchstabe b nicht bezeichneten wirtschaftlichen Ertragsbedingungen, insbesondere Preise und Löhne, Betriebsorganisation, Betriebsmittel.</w:t>
      </w:r>
    </w:p>
    <w:p>
      <w:r>
        <w:t xml:space="preserve">(3) Bei Stückländereien sind die wirtschaftlichen Ertragsbedingungen nach Absatz 2 Nr. 1 Buchstabe b mit den regelmäßigen Verhältnissen der Gegend anzusetzen.</w:t>
      </w:r>
    </w:p>
    <w:p>
      <w:r>
        <w:rPr>
          <w:color w:val="555555"/>
          <w:sz w:val="17"/>
        </w:rPr>
        <w:t xml:space="preserve">Zitiervorschlag: § 38 BewG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Dieses Dokument: https://recht.nulegal.eu/gesetze/BewG/38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