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BewG — Ermittlung des Ertragswerts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37 ist seit 01.01.2025 nicht mehr im BewG enthalten. Angezeigt wird die letzte bekannte Fassung, Stand 10.06.2019.</w:t>
      </w:r>
    </w:p>
    <w:p>
      <w:r>
        <w:t xml:space="preserve">(1) Der Ertragswert der Nutzungen wird durch ein vergleichendes Verfahren (§§ 38 bis 41) ermittelt. Das vergleichende Verfahren kann auch auf Nutzungsteile angewendet werden.</w:t>
      </w:r>
    </w:p>
    <w:p>
      <w:r>
        <w:t xml:space="preserve">(2) Kann ein vergleichendes Verfahren nicht durchgeführt werden, so ist der Ertragswert nach der Ertragsfähigkeit der Nutzung unmittelbar zu ermitteln (Einzelertragswertverfahren).</w:t>
      </w:r>
    </w:p>
    <w:p>
      <w:r>
        <w:rPr>
          <w:color w:val="555555"/>
          <w:sz w:val="17"/>
        </w:rPr>
        <w:t xml:space="preserve">Zitiervorschlag: § 37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